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446F9" w14:textId="7468E501" w:rsidR="002B2B67" w:rsidRPr="00422B98" w:rsidRDefault="00422B98" w:rsidP="002B2B67">
      <w:pPr>
        <w:jc w:val="center"/>
        <w:rPr>
          <w:color w:val="000000"/>
          <w:sz w:val="22"/>
          <w:szCs w:val="22"/>
        </w:rPr>
      </w:pPr>
      <w:r w:rsidRPr="00422B98">
        <w:rPr>
          <w:b/>
          <w:color w:val="000000"/>
          <w:sz w:val="28"/>
          <w:szCs w:val="28"/>
        </w:rPr>
        <w:t>Evaluation of Tamarind Leaf (</w:t>
      </w:r>
      <w:r w:rsidRPr="00422B98">
        <w:rPr>
          <w:b/>
          <w:i/>
          <w:iCs/>
          <w:color w:val="000000"/>
          <w:sz w:val="28"/>
          <w:szCs w:val="28"/>
        </w:rPr>
        <w:t>Tamarindus indica</w:t>
      </w:r>
      <w:r w:rsidRPr="00422B98">
        <w:rPr>
          <w:b/>
          <w:color w:val="000000"/>
          <w:sz w:val="28"/>
          <w:szCs w:val="28"/>
        </w:rPr>
        <w:t xml:space="preserve"> L.) Ethanol Extract as a Natural Antioxidant for Improving Coconut Oil Stability and Shelf Life</w:t>
      </w:r>
      <w:r w:rsidRPr="00422B98">
        <w:rPr>
          <w:b/>
          <w:sz w:val="28"/>
          <w:szCs w:val="28"/>
        </w:rPr>
        <w:t xml:space="preserve"> </w:t>
      </w:r>
      <w:r w:rsidR="002B2B67" w:rsidRPr="00422B98">
        <w:rPr>
          <w:color w:val="000000"/>
          <w:sz w:val="22"/>
          <w:szCs w:val="22"/>
          <w:highlight w:val="cyan"/>
        </w:rPr>
        <w:br/>
      </w:r>
    </w:p>
    <w:p w14:paraId="016076E8" w14:textId="10215321" w:rsidR="00422B98" w:rsidRPr="00422B98" w:rsidRDefault="00422B98" w:rsidP="00422B98">
      <w:pPr>
        <w:spacing w:line="200" w:lineRule="auto"/>
        <w:jc w:val="center"/>
        <w:rPr>
          <w:color w:val="000000"/>
          <w:sz w:val="22"/>
          <w:szCs w:val="22"/>
          <w:vertAlign w:val="superscript"/>
        </w:rPr>
      </w:pPr>
      <w:proofErr w:type="spellStart"/>
      <w:r w:rsidRPr="00422B98">
        <w:rPr>
          <w:b/>
          <w:color w:val="000000"/>
          <w:sz w:val="24"/>
          <w:szCs w:val="24"/>
        </w:rPr>
        <w:t>Sjamsiah</w:t>
      </w:r>
      <w:proofErr w:type="spellEnd"/>
      <w:r w:rsidRPr="00422B98">
        <w:rPr>
          <w:b/>
          <w:color w:val="000000"/>
          <w:sz w:val="24"/>
          <w:szCs w:val="24"/>
          <w:vertAlign w:val="superscript"/>
        </w:rPr>
        <w:t>*</w:t>
      </w:r>
      <w:r w:rsidRPr="00422B98">
        <w:rPr>
          <w:b/>
          <w:color w:val="000000"/>
          <w:sz w:val="24"/>
          <w:szCs w:val="24"/>
        </w:rPr>
        <w:t xml:space="preserve">, Amalyah </w:t>
      </w:r>
      <w:proofErr w:type="spellStart"/>
      <w:r w:rsidRPr="00422B98">
        <w:rPr>
          <w:b/>
          <w:color w:val="000000"/>
          <w:sz w:val="24"/>
          <w:szCs w:val="24"/>
        </w:rPr>
        <w:t>Febryanti</w:t>
      </w:r>
      <w:proofErr w:type="spellEnd"/>
      <w:r w:rsidRPr="00422B98">
        <w:rPr>
          <w:b/>
          <w:color w:val="000000"/>
          <w:sz w:val="24"/>
          <w:szCs w:val="24"/>
        </w:rPr>
        <w:t xml:space="preserve">, and </w:t>
      </w:r>
      <w:proofErr w:type="spellStart"/>
      <w:r w:rsidRPr="00422B98">
        <w:rPr>
          <w:b/>
          <w:color w:val="000000"/>
          <w:sz w:val="24"/>
          <w:szCs w:val="24"/>
        </w:rPr>
        <w:t>Mujtahidah</w:t>
      </w:r>
      <w:proofErr w:type="spellEnd"/>
      <w:r w:rsidRPr="00422B98">
        <w:rPr>
          <w:b/>
          <w:color w:val="000000"/>
          <w:sz w:val="24"/>
          <w:szCs w:val="24"/>
        </w:rPr>
        <w:t xml:space="preserve"> Shabir </w:t>
      </w:r>
      <w:r w:rsidRPr="00422B98">
        <w:rPr>
          <w:color w:val="000000"/>
          <w:sz w:val="24"/>
          <w:szCs w:val="24"/>
        </w:rPr>
        <w:br/>
      </w:r>
    </w:p>
    <w:p w14:paraId="6CBE4AD1" w14:textId="347681B0" w:rsidR="00422B98" w:rsidRPr="00422B98" w:rsidRDefault="00422B98" w:rsidP="00422B98">
      <w:pPr>
        <w:spacing w:line="200" w:lineRule="auto"/>
        <w:jc w:val="center"/>
        <w:rPr>
          <w:i/>
          <w:color w:val="000000"/>
          <w:sz w:val="18"/>
          <w:szCs w:val="18"/>
        </w:rPr>
      </w:pPr>
      <w:r w:rsidRPr="00422B98">
        <w:rPr>
          <w:color w:val="000000"/>
        </w:rPr>
        <w:t>Chemistry Department, Faculty of Sciences and Technology, Universitas Islam Negeri Alauddin, Makassar, South Sulawesi, Indonesia</w:t>
      </w:r>
    </w:p>
    <w:p w14:paraId="5B491808" w14:textId="77777777" w:rsidR="00422B98" w:rsidRPr="00422B98" w:rsidRDefault="00422B98" w:rsidP="00422B98">
      <w:pPr>
        <w:spacing w:line="200" w:lineRule="auto"/>
        <w:jc w:val="center"/>
        <w:rPr>
          <w:i/>
          <w:color w:val="000000"/>
        </w:rPr>
      </w:pPr>
    </w:p>
    <w:p w14:paraId="3AC7FD60" w14:textId="75A7ABEC" w:rsidR="002B2B67" w:rsidRPr="00422B98" w:rsidRDefault="00422B98" w:rsidP="00121280">
      <w:pPr>
        <w:jc w:val="center"/>
        <w:rPr>
          <w:b/>
          <w:bCs/>
          <w:color w:val="000000"/>
          <w:sz w:val="18"/>
          <w:szCs w:val="18"/>
        </w:rPr>
      </w:pPr>
      <w:r w:rsidRPr="00422B98">
        <w:rPr>
          <w:i/>
          <w:sz w:val="18"/>
          <w:szCs w:val="18"/>
        </w:rPr>
        <w:t>*Corresponding Author</w:t>
      </w:r>
      <w:r w:rsidRPr="00422B98">
        <w:rPr>
          <w:i/>
          <w:color w:val="000000"/>
          <w:sz w:val="18"/>
          <w:szCs w:val="18"/>
        </w:rPr>
        <w:t>: sjamsiah.uca@uin-alauddin.ac.id</w:t>
      </w:r>
      <w:r w:rsidRPr="00422B98">
        <w:rPr>
          <w:i/>
          <w:color w:val="000000"/>
          <w:sz w:val="18"/>
          <w:szCs w:val="18"/>
        </w:rPr>
        <w:br/>
      </w:r>
    </w:p>
    <w:p w14:paraId="0D7C7A6C" w14:textId="26120BB6" w:rsidR="00746746" w:rsidRPr="00422B98" w:rsidRDefault="00746746" w:rsidP="00746746">
      <w:pPr>
        <w:spacing w:line="240" w:lineRule="exact"/>
        <w:jc w:val="center"/>
        <w:rPr>
          <w:sz w:val="16"/>
          <w:szCs w:val="16"/>
        </w:rPr>
      </w:pPr>
      <w:r w:rsidRPr="00422B98">
        <w:rPr>
          <w:sz w:val="16"/>
          <w:szCs w:val="16"/>
        </w:rPr>
        <w:t>Received:</w:t>
      </w:r>
      <w:r w:rsidR="00EF2137" w:rsidRPr="00422B98">
        <w:rPr>
          <w:sz w:val="16"/>
          <w:szCs w:val="16"/>
        </w:rPr>
        <w:t xml:space="preserve"> </w:t>
      </w:r>
      <w:r w:rsidR="00BA25D0" w:rsidRPr="00422B98">
        <w:rPr>
          <w:sz w:val="16"/>
          <w:szCs w:val="16"/>
        </w:rPr>
        <w:t>May</w:t>
      </w:r>
      <w:r w:rsidR="00EF2137" w:rsidRPr="00422B98">
        <w:rPr>
          <w:sz w:val="16"/>
          <w:szCs w:val="16"/>
        </w:rPr>
        <w:t xml:space="preserve">, </w:t>
      </w:r>
      <w:r w:rsidR="00422B98" w:rsidRPr="00422B98">
        <w:rPr>
          <w:sz w:val="16"/>
          <w:szCs w:val="16"/>
        </w:rPr>
        <w:t>26</w:t>
      </w:r>
      <w:r w:rsidR="00EF2137" w:rsidRPr="00422B98">
        <w:rPr>
          <w:sz w:val="16"/>
          <w:szCs w:val="16"/>
        </w:rPr>
        <w:t>, 202</w:t>
      </w:r>
      <w:r w:rsidR="00422B98" w:rsidRPr="00422B98">
        <w:rPr>
          <w:sz w:val="16"/>
          <w:szCs w:val="16"/>
        </w:rPr>
        <w:t>6</w:t>
      </w:r>
      <w:r w:rsidR="00EF2137" w:rsidRPr="00422B98">
        <w:rPr>
          <w:sz w:val="16"/>
          <w:szCs w:val="16"/>
        </w:rPr>
        <w:t>/</w:t>
      </w:r>
      <w:r w:rsidRPr="00422B98">
        <w:rPr>
          <w:sz w:val="16"/>
          <w:szCs w:val="16"/>
        </w:rPr>
        <w:t xml:space="preserve">Accepted: </w:t>
      </w:r>
      <w:r w:rsidR="00422B98" w:rsidRPr="00422B98">
        <w:rPr>
          <w:sz w:val="16"/>
          <w:szCs w:val="16"/>
        </w:rPr>
        <w:t>June</w:t>
      </w:r>
      <w:r w:rsidRPr="00422B98">
        <w:rPr>
          <w:sz w:val="16"/>
          <w:szCs w:val="16"/>
        </w:rPr>
        <w:t>,</w:t>
      </w:r>
      <w:r w:rsidR="00EF2137" w:rsidRPr="00422B98">
        <w:rPr>
          <w:sz w:val="16"/>
          <w:szCs w:val="16"/>
        </w:rPr>
        <w:t xml:space="preserve"> </w:t>
      </w:r>
      <w:r w:rsidR="00422B98" w:rsidRPr="00422B98">
        <w:rPr>
          <w:sz w:val="16"/>
          <w:szCs w:val="16"/>
        </w:rPr>
        <w:t>30</w:t>
      </w:r>
      <w:r w:rsidRPr="00422B98">
        <w:rPr>
          <w:sz w:val="16"/>
          <w:szCs w:val="16"/>
        </w:rPr>
        <w:t>, 202</w:t>
      </w:r>
      <w:r w:rsidR="00422B98" w:rsidRPr="00422B98">
        <w:rPr>
          <w:sz w:val="16"/>
          <w:szCs w:val="16"/>
        </w:rPr>
        <w:t>6</w:t>
      </w:r>
    </w:p>
    <w:p w14:paraId="3D47E66B" w14:textId="54E55E61" w:rsidR="00746746" w:rsidRPr="00422B98" w:rsidRDefault="00746746" w:rsidP="001838A2">
      <w:pPr>
        <w:spacing w:line="240" w:lineRule="exact"/>
        <w:jc w:val="center"/>
        <w:rPr>
          <w:sz w:val="16"/>
          <w:szCs w:val="16"/>
        </w:rPr>
      </w:pPr>
      <w:bookmarkStart w:id="0" w:name="_Hlk45964226"/>
      <w:bookmarkStart w:id="1" w:name="_Hlk28433016"/>
      <w:r w:rsidRPr="00422B98">
        <w:rPr>
          <w:sz w:val="16"/>
          <w:szCs w:val="16"/>
        </w:rPr>
        <w:t>doi:</w:t>
      </w:r>
      <w:bookmarkEnd w:id="0"/>
      <w:bookmarkEnd w:id="1"/>
      <w:r w:rsidR="00EF2137" w:rsidRPr="00422B98">
        <w:rPr>
          <w:sz w:val="16"/>
          <w:szCs w:val="16"/>
        </w:rPr>
        <w:t>10.24252/al-</w:t>
      </w:r>
      <w:proofErr w:type="gramStart"/>
      <w:r w:rsidR="00EF2137" w:rsidRPr="00422B98">
        <w:rPr>
          <w:sz w:val="16"/>
          <w:szCs w:val="16"/>
        </w:rPr>
        <w:t>kimia.v</w:t>
      </w:r>
      <w:proofErr w:type="gramEnd"/>
      <w:r w:rsidR="00EF2137" w:rsidRPr="00422B98">
        <w:rPr>
          <w:sz w:val="16"/>
          <w:szCs w:val="16"/>
        </w:rPr>
        <w:t>1</w:t>
      </w:r>
      <w:r w:rsidR="00577FAF" w:rsidRPr="00422B98">
        <w:rPr>
          <w:sz w:val="16"/>
          <w:szCs w:val="16"/>
        </w:rPr>
        <w:t>4</w:t>
      </w:r>
      <w:r w:rsidR="00EF2137" w:rsidRPr="00422B98">
        <w:rPr>
          <w:sz w:val="16"/>
          <w:szCs w:val="16"/>
        </w:rPr>
        <w:t>i</w:t>
      </w:r>
      <w:r w:rsidR="00577FAF" w:rsidRPr="00422B98">
        <w:rPr>
          <w:sz w:val="16"/>
          <w:szCs w:val="16"/>
        </w:rPr>
        <w:t>1</w:t>
      </w:r>
      <w:r w:rsidR="00EF2137" w:rsidRPr="00422B98">
        <w:rPr>
          <w:sz w:val="16"/>
          <w:szCs w:val="16"/>
        </w:rPr>
        <w:t>.</w:t>
      </w:r>
      <w:r w:rsidR="00422B98" w:rsidRPr="00422B98">
        <w:rPr>
          <w:sz w:val="16"/>
          <w:szCs w:val="16"/>
        </w:rPr>
        <w:t>68485</w:t>
      </w:r>
    </w:p>
    <w:p w14:paraId="74F95393" w14:textId="04527EFC" w:rsidR="006B14A0" w:rsidRPr="00422B98" w:rsidRDefault="00746746" w:rsidP="00746746">
      <w:pPr>
        <w:spacing w:line="240" w:lineRule="exact"/>
        <w:jc w:val="center"/>
      </w:pPr>
      <w:r w:rsidRPr="00422B98">
        <w:rPr>
          <w:noProof/>
        </w:rPr>
        <mc:AlternateContent>
          <mc:Choice Requires="wpg">
            <w:drawing>
              <wp:anchor distT="0" distB="0" distL="114300" distR="114300" simplePos="0" relativeHeight="251660288" behindDoc="1" locked="0" layoutInCell="1" allowOverlap="1" wp14:anchorId="5186BB2F" wp14:editId="38C7E1A0">
                <wp:simplePos x="0" y="0"/>
                <wp:positionH relativeFrom="margin">
                  <wp:posOffset>20320</wp:posOffset>
                </wp:positionH>
                <wp:positionV relativeFrom="paragraph">
                  <wp:posOffset>49530</wp:posOffset>
                </wp:positionV>
                <wp:extent cx="5172710" cy="149860"/>
                <wp:effectExtent l="0" t="0" r="0" b="0"/>
                <wp:wrapNone/>
                <wp:docPr id="640866013" name="Group 1"/>
                <wp:cNvGraphicFramePr/>
                <a:graphic xmlns:a="http://schemas.openxmlformats.org/drawingml/2006/main">
                  <a:graphicData uri="http://schemas.microsoft.com/office/word/2010/wordprocessingGroup">
                    <wpg:wgp>
                      <wpg:cNvGrpSpPr/>
                      <wpg:grpSpPr bwMode="auto">
                        <a:xfrm>
                          <a:off x="0" y="0"/>
                          <a:ext cx="5172710" cy="149860"/>
                          <a:chOff x="0" y="0"/>
                          <a:chExt cx="9050" cy="0"/>
                        </a:xfrm>
                      </wpg:grpSpPr>
                      <wps:wsp>
                        <wps:cNvPr id="1441890947" name="Freeform 385"/>
                        <wps:cNvSpPr>
                          <a:spLocks/>
                        </wps:cNvSpPr>
                        <wps:spPr bwMode="auto">
                          <a:xfrm>
                            <a:off x="0" y="0"/>
                            <a:ext cx="9050" cy="0"/>
                          </a:xfrm>
                          <a:custGeom>
                            <a:avLst/>
                            <a:gdLst>
                              <a:gd name="T0" fmla="+- 0 1404 1404"/>
                              <a:gd name="T1" fmla="*/ T0 w 9050"/>
                              <a:gd name="T2" fmla="+- 0 10454 1404"/>
                              <a:gd name="T3" fmla="*/ T2 w 9050"/>
                            </a:gdLst>
                            <a:ahLst/>
                            <a:cxnLst>
                              <a:cxn ang="0">
                                <a:pos x="T1" y="0"/>
                              </a:cxn>
                              <a:cxn ang="0">
                                <a:pos x="T3" y="0"/>
                              </a:cxn>
                            </a:cxnLst>
                            <a:rect l="0" t="0" r="r" b="b"/>
                            <a:pathLst>
                              <a:path w="9050">
                                <a:moveTo>
                                  <a:pt x="0" y="0"/>
                                </a:moveTo>
                                <a:lnTo>
                                  <a:pt x="905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E93D09" id="Group 1" o:spid="_x0000_s1026" style="position:absolute;margin-left:1.6pt;margin-top:3.9pt;width:407.3pt;height:11.8pt;z-index:-251656192;mso-position-horizontal-relative:margin" coordsize="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">
                <v:shape id="Freeform 385" o:spid="_x0000_s1027" style="position:absolute;width:9050;height:0;visibility:visible;mso-wrap-style:square;v-text-anchor:top" coordsize="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" path="m,l9050,e" filled="f" strokeweight=".58pt">
                  <v:path arrowok="t" o:connecttype="custom" o:connectlocs="0,0;9050,0" o:connectangles="0,0"/>
                </v:shape>
                <w10:wrap anchorx="margin"/>
              </v:group>
            </w:pict>
          </mc:Fallback>
        </mc:AlternateContent>
      </w:r>
    </w:p>
    <w:p w14:paraId="06A1A4E9" w14:textId="4116B3FE" w:rsidR="00BA25D0" w:rsidRPr="00422B98" w:rsidRDefault="00BA25D0" w:rsidP="00BA25D0">
      <w:pPr>
        <w:spacing w:after="280"/>
        <w:jc w:val="both"/>
        <w:rPr>
          <w:i/>
          <w:color w:val="333333"/>
        </w:rPr>
      </w:pPr>
      <w:r w:rsidRPr="00422B98">
        <w:rPr>
          <w:b/>
          <w:i/>
          <w:color w:val="333333"/>
        </w:rPr>
        <w:t xml:space="preserve">Abstract: </w:t>
      </w:r>
      <w:r w:rsidR="00422B98" w:rsidRPr="00422B98">
        <w:rPr>
          <w:i/>
          <w:color w:val="333333"/>
        </w:rPr>
        <w:t>Coconut oil is susceptible to oxidative deterioration during storage, resulting in rancidity, reduced quality, and a shortened shelf life. This study evaluated the effectiveness of tamarind leaf (Tamarindus indica L.) ethanol extract as a natural antioxidant for improving the physicochemical stability and shelf life of coconut oil. Tamarind leaves were extracted by ethanol maceration, followed by phytochemical screening and antioxidant activity evaluation using the 2,2-diphenyl-1-picrylhydrazyl (DPPH) assay. Coconut oil was supplemented with 1%, 2%, and 3% (w/v) extract and analyzed for moisture content, peroxide value, free fatty acid content, and saponification value. Shelf life was estimated using the Accelerated Shelf-Life Testing (ASLT) Arrhenius model. The extract yield was 26.31% and contained flavonoids, tannins, alkaloids, and steroids. The extract exhibited moderate antioxidant activity (IC₅₀ = 125.42 ppm). Increasing extract concentration improved coconut oil quality by reducing moisture content, peroxide value, and free fatty acid content while increasing the saponification value. The 3% extract treatment provided the greatest preservation effect, extending the predicted shelf life from 37 to 87 days at 25 °C. These findings demonstrate the potential of tamarind leaf extract as an environmentally friendly natural antioxidant for edible oil preservation.</w:t>
      </w:r>
    </w:p>
    <w:p w14:paraId="02404442" w14:textId="286F783B" w:rsidR="00BA25D0" w:rsidRPr="00422B98" w:rsidRDefault="00BA25D0" w:rsidP="00422B98">
      <w:pPr>
        <w:ind w:left="990" w:hanging="990"/>
        <w:jc w:val="both"/>
        <w:rPr>
          <w:color w:val="333333"/>
        </w:rPr>
      </w:pPr>
      <w:r w:rsidRPr="00422B98">
        <w:rPr>
          <w:b/>
          <w:bCs/>
          <w:i/>
          <w:color w:val="333333"/>
        </w:rPr>
        <w:t>Keyword</w:t>
      </w:r>
      <w:r w:rsidR="0075199B" w:rsidRPr="00422B98">
        <w:rPr>
          <w:b/>
          <w:bCs/>
          <w:i/>
          <w:color w:val="333333"/>
        </w:rPr>
        <w:t>s</w:t>
      </w:r>
      <w:r w:rsidRPr="00422B98">
        <w:rPr>
          <w:i/>
          <w:color w:val="333333"/>
        </w:rPr>
        <w:t xml:space="preserve">: </w:t>
      </w:r>
      <w:r w:rsidR="00422B98" w:rsidRPr="00422B98">
        <w:rPr>
          <w:i/>
          <w:color w:val="333333"/>
        </w:rPr>
        <w:t xml:space="preserve">Tamarindus indica L, Coconut Oil, Natural Antioxidant, Oxidative Stability, Shelf-Life Prediction, Accelerated </w:t>
      </w:r>
      <w:proofErr w:type="gramStart"/>
      <w:r w:rsidR="00422B98" w:rsidRPr="00422B98">
        <w:rPr>
          <w:i/>
          <w:color w:val="333333"/>
        </w:rPr>
        <w:t>Shelf Life</w:t>
      </w:r>
      <w:proofErr w:type="gramEnd"/>
      <w:r w:rsidR="00422B98" w:rsidRPr="00422B98">
        <w:rPr>
          <w:i/>
          <w:color w:val="333333"/>
        </w:rPr>
        <w:t xml:space="preserve"> Testing, DPPH</w:t>
      </w:r>
    </w:p>
    <w:p w14:paraId="527E4D18" w14:textId="77777777" w:rsidR="00BA25D0" w:rsidRPr="00422B98" w:rsidRDefault="00BA25D0" w:rsidP="00BA25D0">
      <w:pPr>
        <w:jc w:val="both"/>
        <w:rPr>
          <w:i/>
          <w:iCs/>
          <w:sz w:val="24"/>
          <w:szCs w:val="24"/>
        </w:rPr>
      </w:pPr>
    </w:p>
    <w:p w14:paraId="4553E4A4" w14:textId="77777777" w:rsidR="00B21F69" w:rsidRPr="00422B98" w:rsidRDefault="00B21F69" w:rsidP="002B2B67">
      <w:pPr>
        <w:pBdr>
          <w:top w:val="nil"/>
          <w:left w:val="nil"/>
          <w:bottom w:val="nil"/>
          <w:right w:val="nil"/>
          <w:between w:val="nil"/>
        </w:pBdr>
        <w:jc w:val="both"/>
        <w:rPr>
          <w:b/>
          <w:color w:val="000000"/>
          <w:sz w:val="22"/>
          <w:szCs w:val="22"/>
        </w:rPr>
      </w:pPr>
    </w:p>
    <w:p w14:paraId="04B3A474" w14:textId="187EB08E" w:rsidR="00BA25D0" w:rsidRPr="00422B98" w:rsidRDefault="002B2B67" w:rsidP="00422B98">
      <w:pPr>
        <w:pBdr>
          <w:top w:val="nil"/>
          <w:left w:val="nil"/>
          <w:bottom w:val="nil"/>
          <w:right w:val="nil"/>
          <w:between w:val="nil"/>
        </w:pBdr>
        <w:jc w:val="both"/>
        <w:rPr>
          <w:color w:val="000000"/>
          <w:sz w:val="22"/>
          <w:szCs w:val="22"/>
        </w:rPr>
      </w:pPr>
      <w:r w:rsidRPr="00422B98">
        <w:rPr>
          <w:b/>
          <w:color w:val="000000"/>
          <w:sz w:val="22"/>
          <w:szCs w:val="22"/>
        </w:rPr>
        <w:t>INTRODUCTION </w:t>
      </w:r>
    </w:p>
    <w:p w14:paraId="43DA849D" w14:textId="77777777" w:rsidR="00422B98" w:rsidRPr="00422B98" w:rsidRDefault="00422B98" w:rsidP="00422B98">
      <w:pPr>
        <w:ind w:firstLine="720"/>
        <w:jc w:val="both"/>
        <w:rPr>
          <w:sz w:val="22"/>
          <w:szCs w:val="22"/>
        </w:rPr>
      </w:pPr>
      <w:r w:rsidRPr="00422B98">
        <w:rPr>
          <w:sz w:val="22"/>
          <w:szCs w:val="22"/>
        </w:rPr>
        <w:t xml:space="preserve">Coconut oil is widely used in household cooking and food processing due to its nutritional value and desirable flavor. However, coconut oil is highly susceptible to oxidative deterioration during storage, particularly when exposed to oxygen, moisture, heat, and prolonged storage conditions </w:t>
      </w:r>
      <w:r w:rsidRPr="00422B98">
        <w:rPr>
          <w:sz w:val="22"/>
          <w:szCs w:val="22"/>
        </w:rPr>
        <w:fldChar w:fldCharType="begin" w:fldLock="1"/>
      </w:r>
      <w:r w:rsidRPr="00422B98">
        <w:rPr>
          <w:sz w:val="22"/>
          <w:szCs w:val="22"/>
        </w:rPr>
        <w:instrText>ADDIN CSL_CITATION {"citationItems":[{"id":"ITEM-1","itemData":{"DOI":"10.63680/hbhlpo982s3uj","author":[{"dropping-particle":"","family":"Jusman","given":"Jusman","non-dropping-particle":"","parse-names":false,"suffix":""},{"dropping-particle":"","family":"Syamsuddin","given":"Syamsuddin","non-dropping-particle":"","parse-names":false,"suffix":""}],"id":"ITEM-1","issued":{"date-parts":[["2025"]]},"page":"745-759","title":"Oxidative Stability and Shelf-Life Estimation of Virgin and Refined Coconut Oils during Storage: A Comparative Approach","type":"article-journal"},"uris":["http://www.mendeley.com/documents/?uuid=1a10e3ca-e815-45f3-a59e-39efa31a807d"]}],"mendeley":{"formattedCitation":"(Jusman &amp; Syamsuddin, 2025)","plainTextFormattedCitation":"(Jusman &amp; Syamsuddin, 2025)","previouslyFormattedCitation":"(Jusman &amp; Syamsuddin, 2025)"},"properties":{"noteIndex":0},"schema":"https://github.com/citation-style-language/schema/raw/master/csl-citation.json"}</w:instrText>
      </w:r>
      <w:r w:rsidRPr="00422B98">
        <w:rPr>
          <w:sz w:val="22"/>
          <w:szCs w:val="22"/>
        </w:rPr>
        <w:fldChar w:fldCharType="separate"/>
      </w:r>
      <w:r w:rsidRPr="00422B98">
        <w:rPr>
          <w:noProof/>
          <w:sz w:val="22"/>
          <w:szCs w:val="22"/>
        </w:rPr>
        <w:t>(Jusman &amp; Syamsuddin, 2025)</w:t>
      </w:r>
      <w:r w:rsidRPr="00422B98">
        <w:rPr>
          <w:sz w:val="22"/>
          <w:szCs w:val="22"/>
        </w:rPr>
        <w:fldChar w:fldCharType="end"/>
      </w:r>
      <w:r w:rsidRPr="00422B98">
        <w:rPr>
          <w:sz w:val="22"/>
          <w:szCs w:val="22"/>
        </w:rPr>
        <w:t xml:space="preserve">. Oxidative degradation leads to the formation of peroxide compounds, aldehydes, ketones, and free fatty acids, which accelerate rancidity and reduce oil quality and shelf life </w:t>
      </w:r>
      <w:r w:rsidRPr="00422B98">
        <w:rPr>
          <w:sz w:val="22"/>
          <w:szCs w:val="22"/>
        </w:rPr>
        <w:fldChar w:fldCharType="begin" w:fldLock="1"/>
      </w:r>
      <w:r w:rsidRPr="00422B98">
        <w:rPr>
          <w:sz w:val="22"/>
          <w:szCs w:val="22"/>
        </w:rPr>
        <w:instrText>ADDIN CSL_CITATION {"citationItems":[{"id":"ITEM-1","itemData":{"DOI":"10.1080/87559129.2022.2026378","author":[{"dropping-particle":"","family":"Machado","given":"Manuela","non-dropping-particle":"","parse-names":false,"suffix":""},{"dropping-particle":"","family":"Rodriguez-Alcala","given":"Luis M","non-dropping-particle":"","parse-names":false,"suffix":""},{"dropping-particle":"","family":"Gomes","given":"Ana M","non-dropping-particle":"","parse-names":false,"suffix":""},{"dropping-particle":"","family":"Pindtado","given":"Manuela","non-dropping-particle":"","parse-names":false,"suffix":""}],"container-title":"Food Reviews International","id":"ITEM-1","issue":"7","issued":{"date-parts":[["2023"]]},"page":"4180-4197","publisher":"Food Reviews International","title":"Vegetable oils oxidation: mechanisms, consequences and protective strategies","type":"article-journal","volume":"39"},"uris":["http://www.mendeley.com/documents/?uuid=99ca39fe-fb9b-4e2b-9ac3-cb79b44418ce"]}],"mendeley":{"formattedCitation":"(Machado et al., 2023)","plainTextFormattedCitation":"(Machado et al., 2023)","previouslyFormattedCitation":"(Machado et al., 2023)"},"properties":{"noteIndex":0},"schema":"https://github.com/citation-style-language/schema/raw/master/csl-citation.json"}</w:instrText>
      </w:r>
      <w:r w:rsidRPr="00422B98">
        <w:rPr>
          <w:sz w:val="22"/>
          <w:szCs w:val="22"/>
        </w:rPr>
        <w:fldChar w:fldCharType="separate"/>
      </w:r>
      <w:r w:rsidRPr="00422B98">
        <w:rPr>
          <w:noProof/>
          <w:sz w:val="22"/>
          <w:szCs w:val="22"/>
        </w:rPr>
        <w:t>(Machado et al., 2023)</w:t>
      </w:r>
      <w:r w:rsidRPr="00422B98">
        <w:rPr>
          <w:sz w:val="22"/>
          <w:szCs w:val="22"/>
        </w:rPr>
        <w:fldChar w:fldCharType="end"/>
      </w:r>
      <w:r w:rsidRPr="00422B98">
        <w:rPr>
          <w:sz w:val="22"/>
          <w:szCs w:val="22"/>
        </w:rPr>
        <w:t xml:space="preserve">. Several studies have reported that the deterioration of edible oils can be delayed by adding antioxidants that scavenge free radicals and inhibit oxidation reactions </w:t>
      </w:r>
      <w:r w:rsidRPr="00422B98">
        <w:rPr>
          <w:sz w:val="22"/>
          <w:szCs w:val="22"/>
        </w:rPr>
        <w:fldChar w:fldCharType="begin" w:fldLock="1"/>
      </w:r>
      <w:r w:rsidRPr="00422B98">
        <w:rPr>
          <w:sz w:val="22"/>
          <w:szCs w:val="22"/>
        </w:rPr>
        <w:instrText>ADDIN CSL_CITATION {"citationItems":[{"id":"ITEM-1","itemData":{"DOI":"10.3390/foods12112177","author":[{"dropping-particle":"","family":"Song","given":"Xiaoxiao","non-dropping-particle":"","parse-names":false,"suffix":""},{"dropping-particle":"","family":"Sui","given":"Xiaonan","non-dropping-particle":"","parse-names":false,"suffix":""},{"dropping-particle":"","family":"Jiang","given":"Lianzhou","non-dropping-particle":"","parse-names":false,"suffix":""}],"container-title":"Foods","id":"ITEM-1","issue":"11","issued":{"date-parts":[["2023"]]},"page":"2177","title":"Protection Function and Mechanism of Rosemary (Rosmarinus officinalis L.) Extract on the Thermal Oxidative Stability of Vegetable Oils","type":"article-journal","volume":"12"},"uris":["http://www.mendeley.com/documents/?uuid=8ad65790-50ce-4fe5-abfb-f7ce9a79d339"]},{"id":"ITEM-2","itemData":{"DOI":"10.1016/j.fufo.2024.100328","author":[{"dropping-particle":"","family":"Zahid","given":"Muqaddas","non-dropping-particle":"","parse-names":false,"suffix":""},{"dropping-particle":"","family":"Khalid","given":"Samran","non-dropping-particle":"","parse-names":false,"suffix":""},{"dropping-particle":"","family":"Raana","given":"Sumbal","non-dropping-particle":"","parse-names":false,"suffix":""},{"dropping-particle":"","family":"Amin","given":"Sara","non-dropping-particle":"","parse-names":false,"suffix":""},{"dropping-particle":"","family":"Javaid","given":"Hamza","non-dropping-particle":"","parse-names":false,"suffix":""},{"dropping-particle":"","family":"Arshad","given":"Rizwan","non-dropping-particle":"","parse-names":false,"suffix":""},{"dropping-particle":"","family":"Jahangeer","given":"Ayesha","non-dropping-particle":"","parse-names":false,"suffix":""}],"container-title":"Future foods","id":"ITEM-2","issued":{"date-parts":[["2024"]]},"title":"Unveiling the anti-oxidative potential of fruits and vegetables waste in prolonging the shelf stability of vegetable oils","type":"article-journal"},"uris":["http://www.mendeley.com/documents/?uuid=f4d0a5ad-70ab-4f00-8de9-038ccf46877d"]},{"id":"ITEM-3","itemData":{"DOI":"10.1007/S13197-019-04112-X","author":[{"dropping-particle":"","family":"Ibsch","given":"Raquel Bonati Moraes","non-dropping-particle":"","parse-names":false,"suffix":""},{"dropping-particle":"","family":"Reiter","given":"Mercedes Gabriela Ratto","non-dropping-particle":"","parse-names":false,"suffix":""},{"dropping-particle":"","family":"Bertoli","given":"Sávio Leandro","non-dropping-particle":"","parse-names":false,"suffix":""},{"dropping-particle":"","family":"Souza","given":"Carolina Krebs","non-dropping-particle":"de","parse-names":false,"suffix":""}],"container-title":"Journal of Food Science and Technology-mysore","id":"ITEM-3","issue":"3","issued":{"date-parts":[["2020"]]},"page":"821-831","publisher":"Springer India","title":"Study of pure and combined antioxidants for replacing TBHQ in soybean oil packed in pet bottles","type":"article-journal","volume":"57"},"uris":["http://www.mendeley.com/documents/?uuid=3f1a421e-d27c-4264-8af2-773a1bff4506"]}],"mendeley":{"formattedCitation":"(Ibsch et al., 2020; Song et al., 2023; Zahid et al., 2024)","plainTextFormattedCitation":"(Ibsch et al., 2020; Song et al., 2023; Zahid et al., 2024)","previouslyFormattedCitation":"(Ibsch et al., 2020; Song et al., 2023; Zahid et al., 2024)"},"properties":{"noteIndex":0},"schema":"https://github.com/citation-style-language/schema/raw/master/csl-citation.json"}</w:instrText>
      </w:r>
      <w:r w:rsidRPr="00422B98">
        <w:rPr>
          <w:sz w:val="22"/>
          <w:szCs w:val="22"/>
        </w:rPr>
        <w:fldChar w:fldCharType="separate"/>
      </w:r>
      <w:r w:rsidRPr="00422B98">
        <w:rPr>
          <w:noProof/>
          <w:sz w:val="22"/>
          <w:szCs w:val="22"/>
        </w:rPr>
        <w:t>(Ibsch et al., 2020; Song et al., 2023; Zahid et al., 2024)</w:t>
      </w:r>
      <w:r w:rsidRPr="00422B98">
        <w:rPr>
          <w:sz w:val="22"/>
          <w:szCs w:val="22"/>
        </w:rPr>
        <w:fldChar w:fldCharType="end"/>
      </w:r>
      <w:r w:rsidRPr="00422B98">
        <w:rPr>
          <w:sz w:val="22"/>
          <w:szCs w:val="22"/>
        </w:rPr>
        <w:t xml:space="preserve">. Antioxidants function by donating hydrogen atoms or electrons to reactive oxygen species, thereby stabilizing radical intermediates and slowing oxidation processes </w:t>
      </w:r>
      <w:r w:rsidRPr="00422B98">
        <w:rPr>
          <w:sz w:val="22"/>
          <w:szCs w:val="22"/>
        </w:rPr>
        <w:fldChar w:fldCharType="begin" w:fldLock="1"/>
      </w:r>
      <w:r w:rsidRPr="00422B98">
        <w:rPr>
          <w:sz w:val="22"/>
          <w:szCs w:val="22"/>
        </w:rPr>
        <w:instrText>ADDIN CSL_CITATION {"citationItems":[{"id":"ITEM-1","itemData":{"DOI":"10.59957/jctm.v60.i6.2025.1","author":[{"dropping-particle":"","family":"Ruseva","given":"Nina","non-dropping-particle":"","parse-names":false,"suffix":""},{"dropping-particle":"","family":"Bakalova","given":"Adriana","non-dropping-particle":"","parse-names":false,"suffix":""},{"dropping-particle":"","family":"Cherneva","given":"Emiliya","non-dropping-particle":"","parse-names":false,"suffix":""},{"dropping-particle":"","family":"Ruseva","given":"Nina","non-dropping-particle":"","parse-names":false,"suffix":""},{"dropping-particle":"","family":"Bakalova","given":"Adriana","non-dropping-particle":"","parse-names":false,"suffix":""},{"dropping-particle":"","family":"Cherneva","given":"Emiliya","non-dropping-particle":"","parse-names":false,"suffix":""}],"container-title":"Journal of Chemical Technology and Metallurgy","id":"ITEM-1","issue":"6","issued":{"date-parts":[["2025"]]},"page":"881-912","title":"Functional groups and structural features of antioxidants: a review","type":"article-journal","volume":"60"},"uris":["http://www.mendeley.com/documents/?uuid=98e425fa-7872-4f4d-a4a4-ebeeacfd7fd6"]}],"mendeley":{"formattedCitation":"(Ruseva et al., 2025)","plainTextFormattedCitation":"(Ruseva et al., 2025)","previouslyFormattedCitation":"(Ruseva et al., 2025)"},"properties":{"noteIndex":0},"schema":"https://github.com/citation-style-language/schema/raw/master/csl-citation.json"}</w:instrText>
      </w:r>
      <w:r w:rsidRPr="00422B98">
        <w:rPr>
          <w:sz w:val="22"/>
          <w:szCs w:val="22"/>
        </w:rPr>
        <w:fldChar w:fldCharType="separate"/>
      </w:r>
      <w:r w:rsidRPr="00422B98">
        <w:rPr>
          <w:noProof/>
          <w:sz w:val="22"/>
          <w:szCs w:val="22"/>
        </w:rPr>
        <w:t>(Ruseva et al., 2025)</w:t>
      </w:r>
      <w:r w:rsidRPr="00422B98">
        <w:rPr>
          <w:sz w:val="22"/>
          <w:szCs w:val="22"/>
        </w:rPr>
        <w:fldChar w:fldCharType="end"/>
      </w:r>
      <w:r w:rsidRPr="00422B98">
        <w:rPr>
          <w:sz w:val="22"/>
          <w:szCs w:val="22"/>
        </w:rPr>
        <w:t xml:space="preserve">. Although synthetic antioxidants such as butylated hydroxytoluene and butylated hydroxyanisole are widely used in the food industry, concerns about their toxicity and potential carcinogenic effects have spurred the search for safer natural antioxidant alternatives </w:t>
      </w:r>
      <w:r w:rsidRPr="00422B98">
        <w:rPr>
          <w:sz w:val="22"/>
          <w:szCs w:val="22"/>
        </w:rPr>
        <w:fldChar w:fldCharType="begin" w:fldLock="1"/>
      </w:r>
      <w:r w:rsidRPr="00422B98">
        <w:rPr>
          <w:sz w:val="22"/>
          <w:szCs w:val="22"/>
        </w:rPr>
        <w:instrText>ADDIN CSL_CITATION {"citationItems":[{"id":"ITEM-1","itemData":{"DOI":"10.1117/12.3000134","author":[{"dropping-particle":"","family":"Xue","given":"Shuyun","non-dropping-particle":"","parse-names":false,"suffix":""}],"id":"ITEM-1","issued":{"date-parts":[["2023"]]},"page":"127891L","title":"Effects of natural antioxidants on oxidation stability and application in food","type":"article-journal","volume":"12789"},"uris":["http://www.mendeley.com/documents/?uuid=4dbb5609-f83e-4180-b2f4-fc3775963848"]}],"mendeley":{"formattedCitation":"(Xue, 2023)","plainTextFormattedCitation":"(Xue, 2023)","previouslyFormattedCitation":"(Xue, 2023)"},"properties":{"noteIndex":0},"schema":"https://github.com/citation-style-language/schema/raw/master/csl-citation.json"}</w:instrText>
      </w:r>
      <w:r w:rsidRPr="00422B98">
        <w:rPr>
          <w:sz w:val="22"/>
          <w:szCs w:val="22"/>
        </w:rPr>
        <w:fldChar w:fldCharType="separate"/>
      </w:r>
      <w:r w:rsidRPr="00422B98">
        <w:rPr>
          <w:noProof/>
          <w:sz w:val="22"/>
          <w:szCs w:val="22"/>
        </w:rPr>
        <w:t>(Xue, 2023)</w:t>
      </w:r>
      <w:r w:rsidRPr="00422B98">
        <w:rPr>
          <w:sz w:val="22"/>
          <w:szCs w:val="22"/>
        </w:rPr>
        <w:fldChar w:fldCharType="end"/>
      </w:r>
      <w:r w:rsidRPr="00422B98">
        <w:rPr>
          <w:sz w:val="22"/>
          <w:szCs w:val="22"/>
        </w:rPr>
        <w:t xml:space="preserve">. </w:t>
      </w:r>
    </w:p>
    <w:p w14:paraId="311E6236" w14:textId="77777777" w:rsidR="00422B98" w:rsidRPr="00422B98" w:rsidRDefault="00422B98" w:rsidP="00422B98">
      <w:pPr>
        <w:ind w:firstLine="720"/>
        <w:jc w:val="both"/>
        <w:rPr>
          <w:sz w:val="22"/>
          <w:szCs w:val="22"/>
        </w:rPr>
      </w:pPr>
      <w:r w:rsidRPr="00422B98">
        <w:rPr>
          <w:sz w:val="22"/>
          <w:szCs w:val="22"/>
        </w:rPr>
        <w:t xml:space="preserve">Recent scientific attention has increasingly focused on plant-derived antioxidants because of their safety, biodegradability, sustainability, and multifunctional bioactivities. Natural antioxidants from medicinal plants, herbs, fruits, and spices are considered promising for food applications because they contain phenolic compounds, flavonoids, tannins, and </w:t>
      </w:r>
      <w:r w:rsidRPr="00422B98">
        <w:rPr>
          <w:sz w:val="22"/>
          <w:szCs w:val="22"/>
        </w:rPr>
        <w:lastRenderedPageBreak/>
        <w:t xml:space="preserve">alkaloids with strong radical-scavenging activity </w:t>
      </w:r>
      <w:r w:rsidRPr="00422B98">
        <w:rPr>
          <w:sz w:val="22"/>
          <w:szCs w:val="22"/>
        </w:rPr>
        <w:fldChar w:fldCharType="begin" w:fldLock="1"/>
      </w:r>
      <w:r w:rsidRPr="00422B98">
        <w:rPr>
          <w:sz w:val="22"/>
          <w:szCs w:val="22"/>
        </w:rPr>
        <w:instrText>ADDIN CSL_CITATION {"citationItems":[{"id":"ITEM-1","itemData":{"DOI":"10.37022/tjmdr.v3i1.430","author":[{"dropping-particle":"","family":"Shaaban","given":"Hamdy A","non-dropping-particle":"","parse-names":false,"suffix":""}],"container-title":"Journal of Multidisciplinary Research","id":"ITEM-1","issue":"1","issued":{"date-parts":[["2023"]]},"page":"6-23","title":"Natural Antioxidants from Herbs and Spices and their effects for Improving the Functionality and Shelf Life of food and Dairy products: A Review","type":"article-journal","volume":"3"},"uris":["http://www.mendeley.com/documents/?uuid=6de417f8-b5ee-42c2-b66a-d363035189cc"]}],"mendeley":{"formattedCitation":"(Shaaban, 2023)","plainTextFormattedCitation":"(Shaaban, 2023)","previouslyFormattedCitation":"(Shaaban, 2023)"},"properties":{"noteIndex":0},"schema":"https://github.com/citation-style-language/schema/raw/master/csl-citation.json"}</w:instrText>
      </w:r>
      <w:r w:rsidRPr="00422B98">
        <w:rPr>
          <w:sz w:val="22"/>
          <w:szCs w:val="22"/>
        </w:rPr>
        <w:fldChar w:fldCharType="separate"/>
      </w:r>
      <w:r w:rsidRPr="00422B98">
        <w:rPr>
          <w:noProof/>
          <w:sz w:val="22"/>
          <w:szCs w:val="22"/>
        </w:rPr>
        <w:t>(Shaaban, 2023)</w:t>
      </w:r>
      <w:r w:rsidRPr="00422B98">
        <w:rPr>
          <w:sz w:val="22"/>
          <w:szCs w:val="22"/>
        </w:rPr>
        <w:fldChar w:fldCharType="end"/>
      </w:r>
      <w:r w:rsidRPr="00422B98">
        <w:rPr>
          <w:sz w:val="22"/>
          <w:szCs w:val="22"/>
        </w:rPr>
        <w:t xml:space="preserve">. One plant that has attracted considerable attention is tamarind (Tamarindus indica L.), particularly its leaves, which possess antifungal, anti-inflammatory, hepatoprotective, wound-healing, and antioxidant activities </w:t>
      </w:r>
      <w:r w:rsidRPr="00422B98">
        <w:rPr>
          <w:sz w:val="22"/>
          <w:szCs w:val="22"/>
        </w:rPr>
        <w:fldChar w:fldCharType="begin" w:fldLock="1"/>
      </w:r>
      <w:r w:rsidRPr="00422B98">
        <w:rPr>
          <w:sz w:val="22"/>
          <w:szCs w:val="22"/>
        </w:rPr>
        <w:instrText>ADDIN CSL_CITATION {"citationItems":[{"id":"ITEM-1","itemData":{"DOI":"10.22271/phyto.2024.v13.i1b.14820","author":[{"dropping-particle":"","family":"Mukherjee","given":"Doyel","non-dropping-particle":"","parse-names":false,"suffix":""},{"dropping-particle":"","family":"Deb","given":"J","non-dropping-particle":"","parse-names":false,"suffix":""},{"dropping-particle":"","family":"Deb","given":"Nilip Kanti","non-dropping-particle":"","parse-names":false,"suffix":""},{"dropping-particle":"","family":"Saha","given":"Soumya","non-dropping-particle":"","parse-names":false,"suffix":""},{"dropping-particle":"","family":"Chakraborty","given":"Saheli","non-dropping-particle":"","parse-names":false,"suffix":""}],"container-title":"Journal of Pharmacognosy and Phytochemistry","id":"ITEM-1","issue":"1","issued":{"date-parts":[["2024"]]},"page":"120-126","title":"Ethnopharmacological, Phytochemical and Pharmacological Review on Tamarindus indica L.","type":"article-journal","volume":"13"},"uris":["http://www.mendeley.com/documents/?uuid=4c8ed52a-498d-409b-ba1e-4f344615cb68"]}],"mendeley":{"formattedCitation":"(Mukherjee et al., 2024)","plainTextFormattedCitation":"(Mukherjee et al., 2024)","previouslyFormattedCitation":"(Mukherjee et al., 2024)"},"properties":{"noteIndex":0},"schema":"https://github.com/citation-style-language/schema/raw/master/csl-citation.json"}</w:instrText>
      </w:r>
      <w:r w:rsidRPr="00422B98">
        <w:rPr>
          <w:sz w:val="22"/>
          <w:szCs w:val="22"/>
        </w:rPr>
        <w:fldChar w:fldCharType="separate"/>
      </w:r>
      <w:r w:rsidRPr="00422B98">
        <w:rPr>
          <w:noProof/>
          <w:sz w:val="22"/>
          <w:szCs w:val="22"/>
        </w:rPr>
        <w:t>(Mukherjee et al., 2024)</w:t>
      </w:r>
      <w:r w:rsidRPr="00422B98">
        <w:rPr>
          <w:sz w:val="22"/>
          <w:szCs w:val="22"/>
        </w:rPr>
        <w:fldChar w:fldCharType="end"/>
      </w:r>
      <w:r w:rsidRPr="00422B98">
        <w:rPr>
          <w:sz w:val="22"/>
          <w:szCs w:val="22"/>
        </w:rPr>
        <w:t>. Previous phytochemical studies revealed that tamarind leaf extract contains flavonoids, tannins, alkaloids, saponins, phenolics, and steroids</w:t>
      </w:r>
      <w:r w:rsidRPr="00422B98">
        <w:rPr>
          <w:sz w:val="22"/>
          <w:szCs w:val="22"/>
        </w:rPr>
        <w:fldChar w:fldCharType="begin" w:fldLock="1"/>
      </w:r>
      <w:r w:rsidRPr="00422B98">
        <w:rPr>
          <w:sz w:val="22"/>
          <w:szCs w:val="22"/>
        </w:rPr>
        <w:instrText>ADDIN CSL_CITATION {"citationItems":[{"id":"ITEM-1","itemData":{"DOI":"10.4314/njbmb.v38i3.1","author":[{"dropping-particle":"","family":"Garba","given":"Yusuf","non-dropping-particle":"","parse-names":false,"suffix":""},{"dropping-particle":"","family":"Bello","given":"Naja'atu U","non-dropping-particle":"","parse-names":false,"suffix":""},{"dropping-particle":"","family":"Bashir","given":"Musa","non-dropping-particle":"","parse-names":false,"suffix":""},{"dropping-particle":"","family":"Mohammed","given":"Salisu Y","non-dropping-particle":"","parse-names":false,"suffix":""}],"id":"ITEM-1","issue":"3","issued":{"date-parts":[["2023"]]},"title":"In vitro and in vivo analysis of the antioxidant potentials of methanolic extract of Tamarindus indica leaves","type":"article-journal","volume":"38"},"uris":["http://www.mendeley.com/documents/?uuid=c28418dc-d038-4528-8390-ea536f73371b"]},{"id":"ITEM-2","itemData":{"DOI":"10.71000/adl5e3","author":[{"dropping-particle":"","family":"Din","given":"Saif U","non-dropping-particle":"","parse-names":false,"suffix":""},{"dropping-particle":"","family":"Khan","given":"Zahid","non-dropping-particle":"","parse-names":false,"suffix":""},{"dropping-particle":"","family":"Hussain","given":"Ejaz","non-dropping-particle":"","parse-names":false,"suffix":""},{"dropping-particle":"","family":"Waqas","given":"Muhammad","non-dropping-particle":"","parse-names":false,"suffix":""},{"dropping-particle":"","family":"Talha","given":"Muhammad","non-dropping-particle":"","parse-names":false,"suffix":""},{"dropping-particle":"","family":"Fayaz","given":"Sundus","non-dropping-particle":"","parse-names":false,"suffix":""}],"id":"ITEM-2","issue":"1 (Life)","issued":{"date-parts":[["2024"]]},"page":"81-87","title":"Qualitative evaluation of phytochemicals in tamarix aphylla: a prelimiary investigaation","type":"article-journal","volume":"2"},"uris":["http://www.mendeley.com/documents/?uuid=ce6d7f89-9383-46e5-bee9-5b30a755a037"]}],"mendeley":{"formattedCitation":"(Din et al., 2024; Garba et al., 2023)","plainTextFormattedCitation":"(Din et al., 2024; Garba et al., 2023)","previouslyFormattedCitation":"(Din et al., 2024; Garba et al., 2023)"},"properties":{"noteIndex":0},"schema":"https://github.com/citation-style-language/schema/raw/master/csl-citation.json"}</w:instrText>
      </w:r>
      <w:r w:rsidRPr="00422B98">
        <w:rPr>
          <w:sz w:val="22"/>
          <w:szCs w:val="22"/>
        </w:rPr>
        <w:fldChar w:fldCharType="separate"/>
      </w:r>
      <w:r w:rsidRPr="00422B98">
        <w:rPr>
          <w:noProof/>
          <w:sz w:val="22"/>
          <w:szCs w:val="22"/>
        </w:rPr>
        <w:t>(Din et al., 2024; Garba et al., 2023)</w:t>
      </w:r>
      <w:r w:rsidRPr="00422B98">
        <w:rPr>
          <w:sz w:val="22"/>
          <w:szCs w:val="22"/>
        </w:rPr>
        <w:fldChar w:fldCharType="end"/>
      </w:r>
      <w:r w:rsidRPr="00422B98">
        <w:rPr>
          <w:sz w:val="22"/>
          <w:szCs w:val="22"/>
        </w:rPr>
        <w:t xml:space="preserve">. In addition, </w:t>
      </w:r>
      <w:proofErr w:type="spellStart"/>
      <w:r w:rsidRPr="00422B98">
        <w:rPr>
          <w:sz w:val="22"/>
          <w:szCs w:val="22"/>
        </w:rPr>
        <w:t>Silalahi</w:t>
      </w:r>
      <w:proofErr w:type="spellEnd"/>
      <w:r w:rsidRPr="00422B98">
        <w:rPr>
          <w:sz w:val="22"/>
          <w:szCs w:val="22"/>
        </w:rPr>
        <w:t xml:space="preserve"> et al </w:t>
      </w:r>
      <w:r w:rsidRPr="00422B98">
        <w:rPr>
          <w:sz w:val="22"/>
          <w:szCs w:val="22"/>
        </w:rPr>
        <w:fldChar w:fldCharType="begin" w:fldLock="1"/>
      </w:r>
      <w:r w:rsidRPr="00422B98">
        <w:rPr>
          <w:sz w:val="22"/>
          <w:szCs w:val="22"/>
        </w:rPr>
        <w:instrText>ADDIN CSL_CITATION {"citationItems":[{"id":"ITEM-1","itemData":{"author":[{"dropping-particle":"","family":"Silalahi","given":"Marina","non-dropping-particle":"","parse-names":false,"suffix":""},{"dropping-particle":"","family":"Biologi","given":"Prodi Pendidikan","non-dropping-particle":"","parse-names":false,"suffix":""},{"dropping-particle":"","family":"Indonesia","given":"Universitas Kristen","non-dropping-particle":"","parse-names":false,"suffix":""}],"id":"ITEM-1","issue":"2","issued":{"date-parts":[["2020"]]},"page":"85-91","title":"BIOAKTIVITAS ASAM JAWA ( Tamarindus indica) DAN PEMANFAATANNYA","type":"article-journal","volume":"7"},"suppress-author":1,"uris":["http://www.mendeley.com/documents/?uuid=28502360-cb13-4b43-ad2a-e25511a56033"]}],"mendeley":{"formattedCitation":"(2020)","plainTextFormattedCitation":"(2020)","previouslyFormattedCitation":"(2020)"},"properties":{"noteIndex":0},"schema":"https://github.com/citation-style-language/schema/raw/master/csl-citation.json"}</w:instrText>
      </w:r>
      <w:r w:rsidRPr="00422B98">
        <w:rPr>
          <w:sz w:val="22"/>
          <w:szCs w:val="22"/>
        </w:rPr>
        <w:fldChar w:fldCharType="separate"/>
      </w:r>
      <w:r w:rsidRPr="00422B98">
        <w:rPr>
          <w:noProof/>
          <w:sz w:val="22"/>
          <w:szCs w:val="22"/>
        </w:rPr>
        <w:t>(2020)</w:t>
      </w:r>
      <w:r w:rsidRPr="00422B98">
        <w:rPr>
          <w:sz w:val="22"/>
          <w:szCs w:val="22"/>
        </w:rPr>
        <w:fldChar w:fldCharType="end"/>
      </w:r>
      <w:r w:rsidRPr="00422B98">
        <w:rPr>
          <w:sz w:val="22"/>
          <w:szCs w:val="22"/>
        </w:rPr>
        <w:t xml:space="preserve"> identified catechin, epicatechin, quercetin, and isorhamnetin as dominant flavonoid compounds in tamarind leaves. These compounds are recognized for their ability to neutralize free radicals, inhibit lipid peroxidation, and reduce oxidative stress </w:t>
      </w:r>
      <w:r w:rsidRPr="00422B98">
        <w:rPr>
          <w:sz w:val="22"/>
          <w:szCs w:val="22"/>
        </w:rPr>
        <w:fldChar w:fldCharType="begin" w:fldLock="1"/>
      </w:r>
      <w:r w:rsidRPr="00422B98">
        <w:rPr>
          <w:sz w:val="22"/>
          <w:szCs w:val="22"/>
        </w:rPr>
        <w:instrText>ADDIN CSL_CITATION {"citationItems":[{"id":"ITEM-1","itemData":{"DOI":"10.22271/phyto.2024.v13.i1b.14820","author":[{"dropping-particle":"","family":"Mukherjee","given":"Doyel","non-dropping-particle":"","parse-names":false,"suffix":""},{"dropping-particle":"","family":"Deb","given":"J","non-dropping-particle":"","parse-names":false,"suffix":""},{"dropping-particle":"","family":"Deb","given":"Nilip Kanti","non-dropping-particle":"","parse-names":false,"suffix":""},{"dropping-particle":"","family":"Saha","given":"Soumya","non-dropping-particle":"","parse-names":false,"suffix":""},{"dropping-particle":"","family":"Chakraborty","given":"Saheli","non-dropping-particle":"","parse-names":false,"suffix":""}],"container-title":"Journal of Pharmacognosy and Phytochemistry","id":"ITEM-1","issue":"1","issued":{"date-parts":[["2024"]]},"page":"120-126","title":"Ethnopharmacological, Phytochemical and Pharmacological Review on Tamarindus indica L.","type":"article-journal","volume":"13"},"uris":["http://www.mendeley.com/documents/?uuid=4c8ed52a-498d-409b-ba1e-4f344615cb68"]}],"mendeley":{"formattedCitation":"(Mukherjee et al., 2024)","plainTextFormattedCitation":"(Mukherjee et al., 2024)","previouslyFormattedCitation":"(Mukherjee et al., 2024)"},"properties":{"noteIndex":0},"schema":"https://github.com/citation-style-language/schema/raw/master/csl-citation.json"}</w:instrText>
      </w:r>
      <w:r w:rsidRPr="00422B98">
        <w:rPr>
          <w:sz w:val="22"/>
          <w:szCs w:val="22"/>
        </w:rPr>
        <w:fldChar w:fldCharType="separate"/>
      </w:r>
      <w:r w:rsidRPr="00422B98">
        <w:rPr>
          <w:noProof/>
          <w:sz w:val="22"/>
          <w:szCs w:val="22"/>
        </w:rPr>
        <w:t>(Mukherjee et al., 2024)</w:t>
      </w:r>
      <w:r w:rsidRPr="00422B98">
        <w:rPr>
          <w:sz w:val="22"/>
          <w:szCs w:val="22"/>
        </w:rPr>
        <w:fldChar w:fldCharType="end"/>
      </w:r>
      <w:r w:rsidRPr="00422B98">
        <w:rPr>
          <w:sz w:val="22"/>
          <w:szCs w:val="22"/>
        </w:rPr>
        <w:t>. Despite the promising antioxidant properties of tamarind leaves, studies investigating their use in preserving coconut oil remain limited. Most previous investigations focused mainly on antioxidant screening using the DPPH method without integrating physicochemical quality evaluation and shelf-life prediction.</w:t>
      </w:r>
    </w:p>
    <w:p w14:paraId="75AA9006" w14:textId="77777777" w:rsidR="00422B98" w:rsidRPr="00422B98" w:rsidRDefault="00422B98" w:rsidP="00422B98">
      <w:pPr>
        <w:ind w:firstLine="720"/>
        <w:jc w:val="both"/>
        <w:rPr>
          <w:sz w:val="22"/>
          <w:szCs w:val="22"/>
        </w:rPr>
      </w:pPr>
      <w:r w:rsidRPr="00422B98">
        <w:rPr>
          <w:sz w:val="22"/>
          <w:szCs w:val="22"/>
        </w:rPr>
        <w:t>Moreover, limited information is available regarding the combined assessment of antioxidant activity, physicochemical quality changes, and shelf-life prediction of coconut oil supplemented with tamarind leaf extract under accelerated storage conditions. The integration of these analytical approaches is important because antioxidant performance in lipid-based food systems cannot be adequately explained by DPPH activity alone but should also be supported by changes in oxidation indicators and shelf-life estimation.</w:t>
      </w:r>
    </w:p>
    <w:p w14:paraId="2B64314A" w14:textId="77777777" w:rsidR="00422B98" w:rsidRPr="00422B98" w:rsidRDefault="00422B98" w:rsidP="00422B98">
      <w:pPr>
        <w:pStyle w:val="NormalWeb"/>
        <w:spacing w:before="0" w:beforeAutospacing="0" w:after="0" w:afterAutospacing="0"/>
        <w:ind w:firstLine="720"/>
        <w:jc w:val="both"/>
        <w:rPr>
          <w:sz w:val="22"/>
          <w:szCs w:val="22"/>
        </w:rPr>
      </w:pPr>
      <w:r w:rsidRPr="00422B98">
        <w:rPr>
          <w:sz w:val="22"/>
          <w:szCs w:val="22"/>
        </w:rPr>
        <w:t xml:space="preserve">Therefore, this study evaluated the effectiveness of tamarind leaf ethanol extract as a natural antioxidant for improving coconut oil stability through an integrated approach comprising phytochemical screening, DPPH antioxidant evaluation, physicochemical quality analysis, and Accelerated Shelf-Life Testing (ASLT) using the Arrhenius model. </w:t>
      </w:r>
      <w:r w:rsidRPr="00422B98">
        <w:rPr>
          <w:rStyle w:val="Strong"/>
          <w:b w:val="0"/>
          <w:bCs w:val="0"/>
          <w:sz w:val="22"/>
          <w:szCs w:val="22"/>
        </w:rPr>
        <w:t>The novelty of this work lies not in the use of tamarind leaf extract itself, but in the comprehensive integration of these analytical approaches to evaluate its effectiveness in improving coconut oil stability and predicting shelf life within a single experimental framework.</w:t>
      </w:r>
    </w:p>
    <w:p w14:paraId="16165921" w14:textId="77777777" w:rsidR="00422B98" w:rsidRPr="00422B98" w:rsidRDefault="00422B98" w:rsidP="00422B98">
      <w:pPr>
        <w:jc w:val="both"/>
        <w:rPr>
          <w:sz w:val="22"/>
          <w:szCs w:val="22"/>
        </w:rPr>
      </w:pPr>
    </w:p>
    <w:p w14:paraId="7265F79D" w14:textId="77777777" w:rsidR="00422B98" w:rsidRPr="00422B98" w:rsidRDefault="00422B98" w:rsidP="00422B98">
      <w:pPr>
        <w:pBdr>
          <w:top w:val="nil"/>
          <w:left w:val="nil"/>
          <w:bottom w:val="nil"/>
          <w:right w:val="nil"/>
          <w:between w:val="nil"/>
        </w:pBdr>
        <w:jc w:val="both"/>
        <w:rPr>
          <w:b/>
          <w:color w:val="000000"/>
          <w:sz w:val="22"/>
          <w:szCs w:val="22"/>
        </w:rPr>
      </w:pPr>
      <w:r w:rsidRPr="00422B98">
        <w:rPr>
          <w:b/>
          <w:color w:val="000000"/>
          <w:sz w:val="22"/>
          <w:szCs w:val="22"/>
        </w:rPr>
        <w:t>RESEARCH METHODS</w:t>
      </w:r>
    </w:p>
    <w:p w14:paraId="4CD93DD1"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This study employed a laboratory-based experimental design to evaluate the effectiveness of tamarind leaf ethanol extract (</w:t>
      </w:r>
      <w:r w:rsidRPr="00422B98">
        <w:rPr>
          <w:i/>
          <w:iCs/>
          <w:color w:val="000000"/>
          <w:sz w:val="22"/>
          <w:szCs w:val="22"/>
        </w:rPr>
        <w:t>Tamarindus indica</w:t>
      </w:r>
      <w:r w:rsidRPr="00422B98">
        <w:rPr>
          <w:color w:val="000000"/>
          <w:sz w:val="22"/>
          <w:szCs w:val="22"/>
        </w:rPr>
        <w:t xml:space="preserve"> L.) as a natural antioxidant to improve the quality and shelf life of coconut oil. The study included phytochemical screening, antioxidant activity analysis using the DPPH method, physicochemical quality evaluation, and shelf-life estimation using the Arrhenius model for accelerated shelf-life testing. </w:t>
      </w:r>
    </w:p>
    <w:p w14:paraId="45255776" w14:textId="77777777" w:rsidR="00422B98" w:rsidRPr="00422B98" w:rsidRDefault="00422B98" w:rsidP="00422B98">
      <w:pPr>
        <w:pBdr>
          <w:top w:val="nil"/>
          <w:left w:val="nil"/>
          <w:bottom w:val="nil"/>
          <w:right w:val="nil"/>
          <w:between w:val="nil"/>
        </w:pBdr>
        <w:jc w:val="both"/>
        <w:rPr>
          <w:b/>
          <w:color w:val="000000"/>
          <w:sz w:val="22"/>
          <w:szCs w:val="22"/>
        </w:rPr>
      </w:pPr>
    </w:p>
    <w:p w14:paraId="44993038" w14:textId="77777777" w:rsidR="00422B98" w:rsidRPr="00422B98" w:rsidRDefault="00422B98" w:rsidP="00422B98">
      <w:pPr>
        <w:pBdr>
          <w:top w:val="nil"/>
          <w:left w:val="nil"/>
          <w:bottom w:val="nil"/>
          <w:right w:val="nil"/>
          <w:between w:val="nil"/>
        </w:pBdr>
        <w:jc w:val="both"/>
        <w:rPr>
          <w:b/>
          <w:color w:val="000000"/>
          <w:sz w:val="22"/>
          <w:szCs w:val="22"/>
        </w:rPr>
      </w:pPr>
      <w:r w:rsidRPr="00422B98">
        <w:rPr>
          <w:b/>
          <w:color w:val="000000"/>
          <w:sz w:val="22"/>
          <w:szCs w:val="22"/>
        </w:rPr>
        <w:t>Materials and Tools</w:t>
      </w:r>
    </w:p>
    <w:p w14:paraId="43DBB2D4"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The primary biological material used in this study was tamarind leaves (</w:t>
      </w:r>
      <w:r w:rsidRPr="00422B98">
        <w:rPr>
          <w:i/>
          <w:iCs/>
          <w:color w:val="000000"/>
          <w:sz w:val="22"/>
          <w:szCs w:val="22"/>
        </w:rPr>
        <w:t>Tamarindus indica</w:t>
      </w:r>
      <w:r w:rsidRPr="00422B98">
        <w:rPr>
          <w:color w:val="000000"/>
          <w:sz w:val="22"/>
          <w:szCs w:val="22"/>
        </w:rPr>
        <w:t xml:space="preserve"> L.), collected from </w:t>
      </w:r>
      <w:proofErr w:type="spellStart"/>
      <w:r w:rsidRPr="00422B98">
        <w:rPr>
          <w:color w:val="000000"/>
          <w:sz w:val="22"/>
          <w:szCs w:val="22"/>
        </w:rPr>
        <w:t>Laringgi</w:t>
      </w:r>
      <w:proofErr w:type="spellEnd"/>
      <w:r w:rsidRPr="00422B98">
        <w:rPr>
          <w:color w:val="000000"/>
          <w:sz w:val="22"/>
          <w:szCs w:val="22"/>
        </w:rPr>
        <w:t xml:space="preserve"> Village, </w:t>
      </w:r>
      <w:proofErr w:type="spellStart"/>
      <w:r w:rsidRPr="00422B98">
        <w:rPr>
          <w:color w:val="000000"/>
          <w:sz w:val="22"/>
          <w:szCs w:val="22"/>
        </w:rPr>
        <w:t>Marioriawa</w:t>
      </w:r>
      <w:proofErr w:type="spellEnd"/>
      <w:r w:rsidRPr="00422B98">
        <w:rPr>
          <w:color w:val="000000"/>
          <w:sz w:val="22"/>
          <w:szCs w:val="22"/>
        </w:rPr>
        <w:t xml:space="preserve"> District, </w:t>
      </w:r>
      <w:proofErr w:type="spellStart"/>
      <w:r w:rsidRPr="00422B98">
        <w:rPr>
          <w:color w:val="000000"/>
          <w:sz w:val="22"/>
          <w:szCs w:val="22"/>
        </w:rPr>
        <w:t>Soppeng</w:t>
      </w:r>
      <w:proofErr w:type="spellEnd"/>
      <w:r w:rsidRPr="00422B98">
        <w:rPr>
          <w:color w:val="000000"/>
          <w:sz w:val="22"/>
          <w:szCs w:val="22"/>
        </w:rPr>
        <w:t xml:space="preserve"> Regency, South Sulawesi, Indonesia. Mature coconuts were obtained from </w:t>
      </w:r>
      <w:proofErr w:type="spellStart"/>
      <w:r w:rsidRPr="00422B98">
        <w:rPr>
          <w:color w:val="000000"/>
          <w:sz w:val="22"/>
          <w:szCs w:val="22"/>
        </w:rPr>
        <w:t>Galesong</w:t>
      </w:r>
      <w:proofErr w:type="spellEnd"/>
      <w:r w:rsidRPr="00422B98">
        <w:rPr>
          <w:color w:val="000000"/>
          <w:sz w:val="22"/>
          <w:szCs w:val="22"/>
        </w:rPr>
        <w:t xml:space="preserve"> Market, </w:t>
      </w:r>
      <w:proofErr w:type="spellStart"/>
      <w:r w:rsidRPr="00422B98">
        <w:rPr>
          <w:color w:val="000000"/>
          <w:sz w:val="22"/>
          <w:szCs w:val="22"/>
        </w:rPr>
        <w:t>Takalar</w:t>
      </w:r>
      <w:proofErr w:type="spellEnd"/>
      <w:r w:rsidRPr="00422B98">
        <w:rPr>
          <w:color w:val="000000"/>
          <w:sz w:val="22"/>
          <w:szCs w:val="22"/>
        </w:rPr>
        <w:t xml:space="preserve"> Regency, South Sulawesi. Chemical reagents used included ethanol 96%, DPPH (2,2-diphenyl-1-picrylhydrazyl), ascorbic acid, sodium hydroxide (NaOH), sulfuric acid (H</w:t>
      </w:r>
      <w:r w:rsidRPr="00422B98">
        <w:rPr>
          <w:color w:val="000000"/>
          <w:sz w:val="22"/>
          <w:szCs w:val="22"/>
          <w:vertAlign w:val="subscript"/>
        </w:rPr>
        <w:t>2</w:t>
      </w:r>
      <w:r w:rsidRPr="00422B98">
        <w:rPr>
          <w:color w:val="000000"/>
          <w:sz w:val="22"/>
          <w:szCs w:val="22"/>
        </w:rPr>
        <w:t>SO</w:t>
      </w:r>
      <w:r w:rsidRPr="00422B98">
        <w:rPr>
          <w:color w:val="000000"/>
          <w:sz w:val="22"/>
          <w:szCs w:val="22"/>
          <w:vertAlign w:val="subscript"/>
        </w:rPr>
        <w:t>4</w:t>
      </w:r>
      <w:r w:rsidRPr="00422B98">
        <w:rPr>
          <w:color w:val="000000"/>
          <w:sz w:val="22"/>
          <w:szCs w:val="22"/>
        </w:rPr>
        <w:t>), ferric chloride (FeCl</w:t>
      </w:r>
      <w:r w:rsidRPr="00422B98">
        <w:rPr>
          <w:color w:val="000000"/>
          <w:sz w:val="22"/>
          <w:szCs w:val="22"/>
          <w:vertAlign w:val="subscript"/>
        </w:rPr>
        <w:t>3</w:t>
      </w:r>
      <w:r w:rsidRPr="00422B98">
        <w:rPr>
          <w:color w:val="000000"/>
          <w:sz w:val="22"/>
          <w:szCs w:val="22"/>
        </w:rPr>
        <w:t>), potassium iodide (KI), sodium thiosulfate (Na</w:t>
      </w:r>
      <w:r w:rsidRPr="00422B98">
        <w:rPr>
          <w:color w:val="000000"/>
          <w:sz w:val="22"/>
          <w:szCs w:val="22"/>
          <w:vertAlign w:val="subscript"/>
        </w:rPr>
        <w:t>2</w:t>
      </w:r>
      <w:r w:rsidRPr="00422B98">
        <w:rPr>
          <w:color w:val="000000"/>
          <w:sz w:val="22"/>
          <w:szCs w:val="22"/>
        </w:rPr>
        <w:t>S</w:t>
      </w:r>
      <w:r w:rsidRPr="00422B98">
        <w:rPr>
          <w:color w:val="000000"/>
          <w:sz w:val="22"/>
          <w:szCs w:val="22"/>
          <w:vertAlign w:val="subscript"/>
        </w:rPr>
        <w:t>2</w:t>
      </w:r>
      <w:r w:rsidRPr="00422B98">
        <w:rPr>
          <w:color w:val="000000"/>
          <w:sz w:val="22"/>
          <w:szCs w:val="22"/>
        </w:rPr>
        <w:t>O</w:t>
      </w:r>
      <w:r w:rsidRPr="00422B98">
        <w:rPr>
          <w:color w:val="000000"/>
          <w:sz w:val="22"/>
          <w:szCs w:val="22"/>
          <w:vertAlign w:val="subscript"/>
        </w:rPr>
        <w:t>3</w:t>
      </w:r>
      <w:r w:rsidRPr="00422B98">
        <w:rPr>
          <w:color w:val="000000"/>
          <w:sz w:val="22"/>
          <w:szCs w:val="22"/>
        </w:rPr>
        <w:t>), hydrochloric acid (HCl), phenolphthalein indicator, alcoholic potassium hydroxide (KOH), chloroform, glacial acetic acid, and distilled water.</w:t>
      </w:r>
    </w:p>
    <w:p w14:paraId="5E684ABA"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The analytical instruments utilized in this study included a UV–</w:t>
      </w:r>
      <w:proofErr w:type="gramStart"/>
      <w:r w:rsidRPr="00422B98">
        <w:rPr>
          <w:color w:val="000000"/>
          <w:sz w:val="22"/>
          <w:szCs w:val="22"/>
        </w:rPr>
        <w:t>Vis</w:t>
      </w:r>
      <w:proofErr w:type="gramEnd"/>
      <w:r w:rsidRPr="00422B98">
        <w:rPr>
          <w:color w:val="000000"/>
          <w:sz w:val="22"/>
          <w:szCs w:val="22"/>
        </w:rPr>
        <w:t xml:space="preserve"> spectrophotometer (Varian Cary 50, Australia), rotary evaporator (Buchi Rotavapor R-100, India), analytical balance (Kern ABJ 220-4 nm), hotplate stirrer (</w:t>
      </w:r>
      <w:proofErr w:type="spellStart"/>
      <w:r w:rsidRPr="00422B98">
        <w:rPr>
          <w:color w:val="000000"/>
          <w:sz w:val="22"/>
          <w:szCs w:val="22"/>
        </w:rPr>
        <w:t>Thermo</w:t>
      </w:r>
      <w:proofErr w:type="spellEnd"/>
      <w:r w:rsidRPr="00422B98">
        <w:rPr>
          <w:color w:val="000000"/>
          <w:sz w:val="22"/>
          <w:szCs w:val="22"/>
        </w:rPr>
        <w:t xml:space="preserve"> Scientific, USA), oven, desiccator, burette, glassware, blender, thermometer, and other standard laboratory apparatus. of manufacture and purify of the materials used, e.g., sigma-</w:t>
      </w:r>
      <w:proofErr w:type="spellStart"/>
      <w:r w:rsidRPr="00422B98">
        <w:rPr>
          <w:color w:val="000000"/>
          <w:sz w:val="22"/>
          <w:szCs w:val="22"/>
        </w:rPr>
        <w:t>aldrich</w:t>
      </w:r>
      <w:proofErr w:type="spellEnd"/>
      <w:r w:rsidRPr="00422B98">
        <w:rPr>
          <w:color w:val="000000"/>
          <w:sz w:val="22"/>
          <w:szCs w:val="22"/>
        </w:rPr>
        <w:t xml:space="preserve"> </w:t>
      </w:r>
      <w:proofErr w:type="spellStart"/>
      <w:r w:rsidRPr="00422B98">
        <w:rPr>
          <w:color w:val="000000"/>
          <w:sz w:val="22"/>
          <w:szCs w:val="22"/>
        </w:rPr>
        <w:t>usa</w:t>
      </w:r>
      <w:proofErr w:type="spellEnd"/>
      <w:r w:rsidRPr="00422B98">
        <w:rPr>
          <w:color w:val="000000"/>
          <w:sz w:val="22"/>
          <w:szCs w:val="22"/>
        </w:rPr>
        <w:t xml:space="preserve">. </w:t>
      </w:r>
    </w:p>
    <w:p w14:paraId="6207A7FF" w14:textId="77777777" w:rsidR="00422B98" w:rsidRPr="00422B98" w:rsidRDefault="00422B98" w:rsidP="00422B98">
      <w:pPr>
        <w:pBdr>
          <w:top w:val="nil"/>
          <w:left w:val="nil"/>
          <w:bottom w:val="nil"/>
          <w:right w:val="nil"/>
          <w:between w:val="nil"/>
        </w:pBdr>
        <w:jc w:val="both"/>
        <w:rPr>
          <w:color w:val="000000"/>
          <w:sz w:val="22"/>
          <w:szCs w:val="22"/>
        </w:rPr>
      </w:pPr>
    </w:p>
    <w:p w14:paraId="5AC4C717" w14:textId="77777777" w:rsidR="00422B98" w:rsidRPr="00422B98" w:rsidRDefault="00422B98" w:rsidP="00422B98">
      <w:pPr>
        <w:pBdr>
          <w:top w:val="nil"/>
          <w:left w:val="nil"/>
          <w:bottom w:val="nil"/>
          <w:right w:val="nil"/>
          <w:between w:val="nil"/>
        </w:pBdr>
        <w:jc w:val="both"/>
        <w:rPr>
          <w:b/>
          <w:color w:val="000000"/>
          <w:sz w:val="22"/>
          <w:szCs w:val="22"/>
        </w:rPr>
      </w:pPr>
      <w:r w:rsidRPr="00422B98">
        <w:rPr>
          <w:b/>
          <w:sz w:val="22"/>
          <w:szCs w:val="22"/>
        </w:rPr>
        <w:t>Methods</w:t>
      </w:r>
    </w:p>
    <w:p w14:paraId="4A1694F2" w14:textId="77777777" w:rsidR="00422B98" w:rsidRPr="00422B98" w:rsidRDefault="00422B98" w:rsidP="00422B98">
      <w:pPr>
        <w:pBdr>
          <w:top w:val="nil"/>
          <w:left w:val="nil"/>
          <w:bottom w:val="nil"/>
          <w:right w:val="nil"/>
          <w:between w:val="nil"/>
        </w:pBdr>
        <w:jc w:val="both"/>
        <w:rPr>
          <w:b/>
          <w:bCs/>
          <w:i/>
          <w:iCs/>
          <w:color w:val="000000"/>
          <w:sz w:val="22"/>
          <w:szCs w:val="22"/>
        </w:rPr>
      </w:pPr>
      <w:r w:rsidRPr="00422B98">
        <w:rPr>
          <w:b/>
          <w:bCs/>
          <w:i/>
          <w:iCs/>
          <w:color w:val="000000"/>
          <w:sz w:val="22"/>
          <w:szCs w:val="22"/>
        </w:rPr>
        <w:t>Preparation of Coconut Oil</w:t>
      </w:r>
    </w:p>
    <w:p w14:paraId="5F5CEEB7" w14:textId="77777777" w:rsidR="00422B98" w:rsidRPr="00422B98" w:rsidRDefault="00422B98" w:rsidP="00422B98">
      <w:pPr>
        <w:pStyle w:val="Heading2"/>
        <w:tabs>
          <w:tab w:val="clear" w:pos="1440"/>
          <w:tab w:val="num" w:pos="851"/>
        </w:tabs>
        <w:spacing w:before="0" w:after="0"/>
        <w:ind w:left="0" w:firstLine="0"/>
        <w:jc w:val="both"/>
        <w:rPr>
          <w:rFonts w:ascii="Times New Roman" w:hAnsi="Times New Roman" w:cs="Times New Roman"/>
          <w:b w:val="0"/>
          <w:iCs w:val="0"/>
          <w:color w:val="000000"/>
          <w:sz w:val="22"/>
          <w:szCs w:val="22"/>
        </w:rPr>
      </w:pPr>
      <w:r w:rsidRPr="00422B98">
        <w:rPr>
          <w:rFonts w:ascii="Times New Roman" w:eastAsia="Times New Roman" w:hAnsi="Times New Roman" w:cs="Times New Roman"/>
          <w:b w:val="0"/>
          <w:bCs w:val="0"/>
          <w:i w:val="0"/>
          <w:iCs w:val="0"/>
          <w:color w:val="000000"/>
          <w:sz w:val="22"/>
          <w:szCs w:val="22"/>
        </w:rPr>
        <w:tab/>
        <w:t xml:space="preserve">Coconut oil was prepared following the method of </w:t>
      </w:r>
      <w:r w:rsidRPr="00422B98">
        <w:rPr>
          <w:rFonts w:ascii="Times New Roman" w:eastAsia="Times New Roman" w:hAnsi="Times New Roman" w:cs="Times New Roman"/>
          <w:b w:val="0"/>
          <w:bCs w:val="0"/>
          <w:i w:val="0"/>
          <w:iCs w:val="0"/>
          <w:noProof/>
          <w:color w:val="000000"/>
          <w:sz w:val="22"/>
          <w:szCs w:val="22"/>
        </w:rPr>
        <w:t>Momuat et al.</w:t>
      </w:r>
      <w:r w:rsidRPr="00422B98">
        <w:rPr>
          <w:rFonts w:ascii="Times New Roman" w:eastAsia="Times New Roman" w:hAnsi="Times New Roman" w:cs="Times New Roman"/>
          <w:b w:val="0"/>
          <w:bCs w:val="0"/>
          <w:i w:val="0"/>
          <w:iCs w:val="0"/>
          <w:color w:val="000000"/>
          <w:sz w:val="22"/>
          <w:szCs w:val="22"/>
        </w:rPr>
        <w:fldChar w:fldCharType="begin" w:fldLock="1"/>
      </w:r>
      <w:r w:rsidRPr="00422B98">
        <w:rPr>
          <w:rFonts w:ascii="Times New Roman" w:eastAsia="Times New Roman" w:hAnsi="Times New Roman" w:cs="Times New Roman"/>
          <w:b w:val="0"/>
          <w:bCs w:val="0"/>
          <w:i w:val="0"/>
          <w:iCs w:val="0"/>
          <w:color w:val="000000"/>
          <w:sz w:val="22"/>
          <w:szCs w:val="22"/>
        </w:rPr>
        <w:instrText>ADDIN CSL_CITATION {"citationItems":[{"id":"ITEM-1","itemData":{"author":[{"dropping-particle":"","family":"Momuat","given":"Lidya Irma","non-dropping-particle":"","parse-names":false,"suffix":""},{"dropping-particle":"","family":"Wuntu","given":"Audy","non-dropping-particle":"","parse-names":false,"suffix":""},{"dropping-particle":"","family":"Hatidja","given":"Djoni","non-dropping-particle":"","parse-names":false,"suffix":""},{"dropping-particle":"","family":"Runtu","given":"Marini","non-dropping-particle":"","parse-names":false,"suffix":""},{"dropping-particle":"","family":"Lengkong","given":"Vanda","non-dropping-particle":"","parse-names":false,"suffix":""}],"container-title":"Jurnal Ilmiah Sains","id":"ITEM-1","issue":"1","issued":{"date-parts":[["2009"]]},"title":"Kualitas Minyak Kelapa dengan Penambahan Ekstrak Tomat pada Beberapa Waktu Penyimpanana dan Suhu Pemanasan","type":"article-journal","volume":"9"},"suppress-author":1,"uris":["http://www.mendeley.com/documents/?uuid=482ed117-0cdd-4c3c-a7f1-ded550582eb9"]}],"mendeley":{"formattedCitation":"(2009)","plainTextFormattedCitation":"(2009)","previouslyFormattedCitation":"(2009)"},"properties":{"noteIndex":0},"schema":"https://github.com/citation-style-language/schema/raw/master/csl-citation.json"}</w:instrText>
      </w:r>
      <w:r w:rsidRPr="00422B98">
        <w:rPr>
          <w:rFonts w:ascii="Times New Roman" w:eastAsia="Times New Roman" w:hAnsi="Times New Roman" w:cs="Times New Roman"/>
          <w:b w:val="0"/>
          <w:bCs w:val="0"/>
          <w:i w:val="0"/>
          <w:iCs w:val="0"/>
          <w:color w:val="000000"/>
          <w:sz w:val="22"/>
          <w:szCs w:val="22"/>
        </w:rPr>
        <w:fldChar w:fldCharType="separate"/>
      </w:r>
      <w:r w:rsidRPr="00422B98">
        <w:rPr>
          <w:rFonts w:ascii="Times New Roman" w:eastAsia="Times New Roman" w:hAnsi="Times New Roman" w:cs="Times New Roman"/>
          <w:b w:val="0"/>
          <w:bCs w:val="0"/>
          <w:i w:val="0"/>
          <w:iCs w:val="0"/>
          <w:noProof/>
          <w:color w:val="000000"/>
          <w:sz w:val="22"/>
          <w:szCs w:val="22"/>
        </w:rPr>
        <w:t>(2009)</w:t>
      </w:r>
      <w:r w:rsidRPr="00422B98">
        <w:rPr>
          <w:rFonts w:ascii="Times New Roman" w:eastAsia="Times New Roman" w:hAnsi="Times New Roman" w:cs="Times New Roman"/>
          <w:b w:val="0"/>
          <w:bCs w:val="0"/>
          <w:i w:val="0"/>
          <w:iCs w:val="0"/>
          <w:color w:val="000000"/>
          <w:sz w:val="22"/>
          <w:szCs w:val="22"/>
        </w:rPr>
        <w:fldChar w:fldCharType="end"/>
      </w:r>
      <w:r w:rsidRPr="00422B98">
        <w:rPr>
          <w:rFonts w:ascii="Times New Roman" w:eastAsia="Times New Roman" w:hAnsi="Times New Roman" w:cs="Times New Roman"/>
          <w:b w:val="0"/>
          <w:bCs w:val="0"/>
          <w:i w:val="0"/>
          <w:iCs w:val="0"/>
          <w:color w:val="000000"/>
          <w:sz w:val="22"/>
          <w:szCs w:val="22"/>
        </w:rPr>
        <w:t>. Mature coconuts were peeled, and the coconut flesh was grated. The grated coconut was mixed with hot water at 70 °C in a 1:1 ratio, then squeezed and filtered to obtain coconut milk. The coconut milk was allowed to stand for 2 h to separate the cream and skim fractions. The cream layer was collected and heated at 80–90 °C until coconut oil was formed. The obtained oil was filtered and stored in dark bottles before analysis.</w:t>
      </w:r>
    </w:p>
    <w:p w14:paraId="0B3EC46A" w14:textId="77777777" w:rsidR="00422B98" w:rsidRPr="00422B98" w:rsidRDefault="00422B98" w:rsidP="00422B98">
      <w:pPr>
        <w:pStyle w:val="FirstParagraph"/>
        <w:spacing w:before="0" w:after="0"/>
        <w:rPr>
          <w:rFonts w:ascii="Times New Roman" w:eastAsia="Times New Roman" w:hAnsi="Times New Roman" w:cs="Times New Roman"/>
          <w:b/>
          <w:bCs/>
          <w:i/>
          <w:iCs/>
          <w:color w:val="000000"/>
          <w:sz w:val="22"/>
          <w:szCs w:val="22"/>
        </w:rPr>
      </w:pPr>
      <w:r w:rsidRPr="00422B98">
        <w:rPr>
          <w:rFonts w:ascii="Times New Roman" w:eastAsia="Times New Roman" w:hAnsi="Times New Roman" w:cs="Times New Roman"/>
          <w:b/>
          <w:bCs/>
          <w:i/>
          <w:iCs/>
          <w:color w:val="000000"/>
          <w:sz w:val="22"/>
          <w:szCs w:val="22"/>
        </w:rPr>
        <w:t xml:space="preserve">Extraction of Tamarind Leaves </w:t>
      </w:r>
    </w:p>
    <w:p w14:paraId="0201D97F" w14:textId="77777777" w:rsidR="00422B98" w:rsidRPr="00422B98" w:rsidRDefault="00422B98" w:rsidP="00422B98">
      <w:pPr>
        <w:pStyle w:val="FirstParagraph"/>
        <w:spacing w:before="0" w:after="0"/>
        <w:ind w:firstLine="720"/>
        <w:jc w:val="both"/>
        <w:rPr>
          <w:rFonts w:ascii="Times New Roman" w:eastAsia="Times New Roman" w:hAnsi="Times New Roman" w:cs="Times New Roman"/>
          <w:color w:val="000000"/>
          <w:sz w:val="22"/>
          <w:szCs w:val="22"/>
        </w:rPr>
      </w:pPr>
      <w:r w:rsidRPr="00422B98">
        <w:rPr>
          <w:rFonts w:ascii="Times New Roman" w:eastAsia="Times New Roman" w:hAnsi="Times New Roman" w:cs="Times New Roman"/>
          <w:color w:val="000000"/>
          <w:sz w:val="22"/>
          <w:szCs w:val="22"/>
        </w:rPr>
        <w:t>The extraction procedure was adapted from</w:t>
      </w:r>
      <w:r w:rsidRPr="00422B98">
        <w:rPr>
          <w:rFonts w:ascii="Times New Roman" w:eastAsia="Times New Roman" w:hAnsi="Times New Roman" w:cs="Times New Roman"/>
          <w:noProof/>
          <w:color w:val="000000"/>
          <w:sz w:val="22"/>
          <w:szCs w:val="22"/>
        </w:rPr>
        <w:t xml:space="preserve"> Kartikawati et al.</w:t>
      </w:r>
      <w:r w:rsidRPr="00422B98">
        <w:rPr>
          <w:rFonts w:ascii="Times New Roman" w:eastAsia="Times New Roman" w:hAnsi="Times New Roman" w:cs="Times New Roman"/>
          <w:color w:val="000000"/>
          <w:sz w:val="22"/>
          <w:szCs w:val="22"/>
        </w:rPr>
        <w:t xml:space="preserve"> </w:t>
      </w:r>
      <w:r w:rsidRPr="00422B98">
        <w:rPr>
          <w:rFonts w:ascii="Times New Roman" w:eastAsia="Times New Roman" w:hAnsi="Times New Roman" w:cs="Times New Roman"/>
          <w:color w:val="000000"/>
          <w:sz w:val="22"/>
          <w:szCs w:val="22"/>
        </w:rPr>
        <w:fldChar w:fldCharType="begin" w:fldLock="1"/>
      </w:r>
      <w:r w:rsidRPr="00422B98">
        <w:rPr>
          <w:rFonts w:ascii="Times New Roman" w:eastAsia="Times New Roman" w:hAnsi="Times New Roman" w:cs="Times New Roman"/>
          <w:color w:val="000000"/>
          <w:sz w:val="22"/>
          <w:szCs w:val="22"/>
        </w:rPr>
        <w:instrText>ADDIN CSL_CITATION {"citationItems":[{"id":"ITEM-1","itemData":{"author":[{"dropping-particle":"","family":"Kartikawati","given":"Endah","non-dropping-particle":"","parse-names":false,"suffix":""},{"dropping-particle":"","family":"Deswati","given":"Dytha Andri","non-dropping-particle":"","parse-names":false,"suffix":""},{"dropping-particle":"","family":"Pramudita","given":"Bentari","non-dropping-particle":"","parse-names":false,"suffix":""}],"container-title":"Jurnal Sabdariffarma","id":"ITEM-1","issue":"1","issued":{"date-parts":[["2021"]]},"page":"11-18","title":"UJI EFEK ANALGETIK EKSTRAK ETANOL DAUN ASAM JAWA (Tamarindus indica L) pada MENCIT PUTIH JANTAN GALUR SWISS WEBSTER","type":"article-journal","volume":"9"},"suppress-author":1,"uris":["http://www.mendeley.com/documents/?uuid=ebf37c44-8712-4d35-a8e9-88b1870a892a"]}],"mendeley":{"formattedCitation":"(2021)","plainTextFormattedCitation":"(2021)","previouslyFormattedCitation":"(2021)"},"properties":{"noteIndex":0},"schema":"https://github.com/citation-style-language/schema/raw/master/csl-citation.json"}</w:instrText>
      </w:r>
      <w:r w:rsidRPr="00422B98">
        <w:rPr>
          <w:rFonts w:ascii="Times New Roman" w:eastAsia="Times New Roman" w:hAnsi="Times New Roman" w:cs="Times New Roman"/>
          <w:color w:val="000000"/>
          <w:sz w:val="22"/>
          <w:szCs w:val="22"/>
        </w:rPr>
        <w:fldChar w:fldCharType="separate"/>
      </w:r>
      <w:r w:rsidRPr="00422B98">
        <w:rPr>
          <w:rFonts w:ascii="Times New Roman" w:eastAsia="Times New Roman" w:hAnsi="Times New Roman" w:cs="Times New Roman"/>
          <w:noProof/>
          <w:color w:val="000000"/>
          <w:sz w:val="22"/>
          <w:szCs w:val="22"/>
        </w:rPr>
        <w:t>(2021)</w:t>
      </w:r>
      <w:r w:rsidRPr="00422B98">
        <w:rPr>
          <w:rFonts w:ascii="Times New Roman" w:eastAsia="Times New Roman" w:hAnsi="Times New Roman" w:cs="Times New Roman"/>
          <w:color w:val="000000"/>
          <w:sz w:val="22"/>
          <w:szCs w:val="22"/>
        </w:rPr>
        <w:fldChar w:fldCharType="end"/>
      </w:r>
      <w:r w:rsidRPr="00422B98">
        <w:rPr>
          <w:rFonts w:ascii="Times New Roman" w:eastAsia="Times New Roman" w:hAnsi="Times New Roman" w:cs="Times New Roman"/>
          <w:color w:val="000000"/>
          <w:sz w:val="22"/>
          <w:szCs w:val="22"/>
        </w:rPr>
        <w:t xml:space="preserve">. Tamarind leaves were dried under indirect sunlight and ground into powder. Approximately 1 kg of powdered leaves was macerated in 96% ethanol for 3x24 h at room temperature. The filtrate was concentrated using a rotary evaporator at 40 °C to obtain a viscous extract. Maceration was selected because it preserves thermolabile phytochemicals and minimizes thermal degradation </w:t>
      </w:r>
      <w:r w:rsidRPr="00422B98">
        <w:rPr>
          <w:rFonts w:ascii="Times New Roman" w:eastAsia="Times New Roman" w:hAnsi="Times New Roman" w:cs="Times New Roman"/>
          <w:color w:val="000000"/>
          <w:sz w:val="22"/>
          <w:szCs w:val="22"/>
        </w:rPr>
        <w:fldChar w:fldCharType="begin" w:fldLock="1"/>
      </w:r>
      <w:r w:rsidRPr="00422B98">
        <w:rPr>
          <w:rFonts w:ascii="Times New Roman" w:eastAsia="Times New Roman" w:hAnsi="Times New Roman" w:cs="Times New Roman"/>
          <w:color w:val="000000"/>
          <w:sz w:val="22"/>
          <w:szCs w:val="22"/>
        </w:rPr>
        <w:instrText>ADDIN CSL_CITATION {"citationItems":[{"id":"ITEM-1","itemData":{"author":[{"dropping-particle":"","family":"Megawati","given":"","non-dropping-particle":"","parse-names":false,"suffix":""},{"dropping-particle":"","family":"Sukmawati","given":"","non-dropping-particle":"","parse-names":false,"suffix":""},{"dropping-particle":"","family":"Aminah","given":"","non-dropping-particle":"","parse-names":false,"suffix":""}],"id":"ITEM-1","issue":"02","issued":{"date-parts":[["2021"]]},"page":"95-102","title":"Uji Aktivitas Antioksidan Fraksi Etil Asetat Daun Asam Jawa (Tamarindus Indica L) Dengan Metode DPPH(1,1 Diphenyl-2-Picrylhydrazil)","type":"article-journal","volume":"02"},"uris":["http://www.mendeley.com/documents/?uuid=38b3d8d6-f8d0-4f23-bad3-e1b0e66bf97e"]},{"id":"ITEM-2","itemData":{"author":[{"dropping-particle":"","family":"Yunita","given":"Erma","non-dropping-particle":"","parse-names":false,"suffix":""},{"dropping-particle":"","family":"Khodijah","given":"Zihan","non-dropping-particle":"","parse-names":false,"suffix":""}],"container-title":"PHARMACY: Jurnal Farmasi Indonesia (Pharmaceutical Journal of Indonesia)","id":"ITEM-2","issue":"02","issued":{"date-parts":[["2020"]]},"page":"273-280","title":"Pengaruh Konsentrasi Pelarut Etanol saat Maserasi terhadap Kadar Kuersetin Ekstrak Daun Asam Jawa ( Tamarindus indica L .) secara","type":"article-journal","volume":"17"},"uris":["http://www.mendeley.com/documents/?uuid=2877ff7e-7012-4365-b792-9322a5af345d"]}],"mendeley":{"formattedCitation":"(Megawati et al., 2021; Yunita &amp; Khodijah, 2020)","plainTextFormattedCitation":"(Megawati et al., 2021; Yunita &amp; Khodijah, 2020)","previouslyFormattedCitation":"(Megawati et al., 2021; Yunita &amp; Khodijah, 2020)"},"properties":{"noteIndex":0},"schema":"https://github.com/citation-style-language/schema/raw/master/csl-citation.json"}</w:instrText>
      </w:r>
      <w:r w:rsidRPr="00422B98">
        <w:rPr>
          <w:rFonts w:ascii="Times New Roman" w:eastAsia="Times New Roman" w:hAnsi="Times New Roman" w:cs="Times New Roman"/>
          <w:color w:val="000000"/>
          <w:sz w:val="22"/>
          <w:szCs w:val="22"/>
        </w:rPr>
        <w:fldChar w:fldCharType="separate"/>
      </w:r>
      <w:r w:rsidRPr="00422B98">
        <w:rPr>
          <w:rFonts w:ascii="Times New Roman" w:eastAsia="Times New Roman" w:hAnsi="Times New Roman" w:cs="Times New Roman"/>
          <w:noProof/>
          <w:color w:val="000000"/>
          <w:sz w:val="22"/>
          <w:szCs w:val="22"/>
        </w:rPr>
        <w:t>(Megawati et al., 2021; Yunita &amp; Khodijah, 2020)</w:t>
      </w:r>
      <w:r w:rsidRPr="00422B98">
        <w:rPr>
          <w:rFonts w:ascii="Times New Roman" w:eastAsia="Times New Roman" w:hAnsi="Times New Roman" w:cs="Times New Roman"/>
          <w:color w:val="000000"/>
          <w:sz w:val="22"/>
          <w:szCs w:val="22"/>
        </w:rPr>
        <w:fldChar w:fldCharType="end"/>
      </w:r>
      <w:r w:rsidRPr="00422B98">
        <w:rPr>
          <w:rFonts w:ascii="Times New Roman" w:eastAsia="Times New Roman" w:hAnsi="Times New Roman" w:cs="Times New Roman"/>
          <w:color w:val="000000"/>
          <w:sz w:val="22"/>
          <w:szCs w:val="22"/>
        </w:rPr>
        <w:t>.</w:t>
      </w:r>
    </w:p>
    <w:p w14:paraId="1C019F73" w14:textId="77777777" w:rsidR="00422B98" w:rsidRPr="00422B98" w:rsidRDefault="00422B98" w:rsidP="00422B98">
      <w:pPr>
        <w:pStyle w:val="FirstParagraph"/>
        <w:spacing w:before="0" w:after="0"/>
        <w:rPr>
          <w:rFonts w:ascii="Times New Roman" w:eastAsia="Times New Roman" w:hAnsi="Times New Roman" w:cs="Times New Roman"/>
          <w:b/>
          <w:bCs/>
          <w:i/>
          <w:iCs/>
          <w:color w:val="000000"/>
          <w:sz w:val="22"/>
          <w:szCs w:val="22"/>
        </w:rPr>
      </w:pPr>
      <w:r w:rsidRPr="00422B98">
        <w:rPr>
          <w:rFonts w:ascii="Times New Roman" w:eastAsia="Times New Roman" w:hAnsi="Times New Roman" w:cs="Times New Roman"/>
          <w:b/>
          <w:bCs/>
          <w:i/>
          <w:iCs/>
          <w:color w:val="000000"/>
          <w:sz w:val="22"/>
          <w:szCs w:val="22"/>
        </w:rPr>
        <w:t>Phytochemical Screening</w:t>
      </w:r>
    </w:p>
    <w:p w14:paraId="054ECF1B" w14:textId="77777777" w:rsidR="00422B98" w:rsidRPr="00422B98" w:rsidRDefault="00422B98" w:rsidP="00422B98">
      <w:pPr>
        <w:pStyle w:val="FirstParagraph"/>
        <w:spacing w:before="0" w:after="0"/>
        <w:ind w:firstLine="720"/>
        <w:jc w:val="both"/>
        <w:rPr>
          <w:rFonts w:ascii="Times New Roman" w:eastAsia="Times New Roman" w:hAnsi="Times New Roman" w:cs="Times New Roman"/>
          <w:color w:val="000000"/>
          <w:sz w:val="22"/>
          <w:szCs w:val="22"/>
        </w:rPr>
      </w:pPr>
      <w:r w:rsidRPr="00422B98">
        <w:rPr>
          <w:rFonts w:ascii="Times New Roman" w:eastAsia="Times New Roman" w:hAnsi="Times New Roman" w:cs="Times New Roman"/>
          <w:color w:val="000000"/>
          <w:sz w:val="22"/>
          <w:szCs w:val="22"/>
        </w:rPr>
        <w:t xml:space="preserve">Qualitative phytochemical screening was conducted to identify alkaloids, flavonoids, tannins, steroids, and terpenoids using standard colorimetric methods. Alkaloids were identified using Mayer and </w:t>
      </w:r>
      <w:proofErr w:type="spellStart"/>
      <w:r w:rsidRPr="00422B98">
        <w:rPr>
          <w:rFonts w:ascii="Times New Roman" w:eastAsia="Times New Roman" w:hAnsi="Times New Roman" w:cs="Times New Roman"/>
          <w:color w:val="000000"/>
          <w:sz w:val="22"/>
          <w:szCs w:val="22"/>
        </w:rPr>
        <w:t>Dragendorff</w:t>
      </w:r>
      <w:proofErr w:type="spellEnd"/>
      <w:r w:rsidRPr="00422B98">
        <w:rPr>
          <w:rFonts w:ascii="Times New Roman" w:eastAsia="Times New Roman" w:hAnsi="Times New Roman" w:cs="Times New Roman"/>
          <w:color w:val="000000"/>
          <w:sz w:val="22"/>
          <w:szCs w:val="22"/>
        </w:rPr>
        <w:t xml:space="preserve"> reagents, flavonoids using NaOH and concentrated H</w:t>
      </w:r>
      <w:r w:rsidRPr="00422B98">
        <w:rPr>
          <w:rFonts w:ascii="Times New Roman" w:eastAsia="Times New Roman" w:hAnsi="Times New Roman" w:cs="Times New Roman"/>
          <w:color w:val="000000"/>
          <w:sz w:val="22"/>
          <w:szCs w:val="22"/>
          <w:vertAlign w:val="subscript"/>
        </w:rPr>
        <w:t>2</w:t>
      </w:r>
      <w:r w:rsidRPr="00422B98">
        <w:rPr>
          <w:rFonts w:ascii="Times New Roman" w:eastAsia="Times New Roman" w:hAnsi="Times New Roman" w:cs="Times New Roman"/>
          <w:color w:val="000000"/>
          <w:sz w:val="22"/>
          <w:szCs w:val="22"/>
        </w:rPr>
        <w:t>SO</w:t>
      </w:r>
      <w:r w:rsidRPr="00422B98">
        <w:rPr>
          <w:rFonts w:ascii="Times New Roman" w:eastAsia="Times New Roman" w:hAnsi="Times New Roman" w:cs="Times New Roman"/>
          <w:color w:val="000000"/>
          <w:sz w:val="22"/>
          <w:szCs w:val="22"/>
          <w:vertAlign w:val="subscript"/>
        </w:rPr>
        <w:t>4,</w:t>
      </w:r>
      <w:r w:rsidRPr="00422B98">
        <w:rPr>
          <w:rFonts w:ascii="Times New Roman" w:eastAsia="Times New Roman" w:hAnsi="Times New Roman" w:cs="Times New Roman"/>
          <w:color w:val="000000"/>
          <w:sz w:val="22"/>
          <w:szCs w:val="22"/>
        </w:rPr>
        <w:t xml:space="preserve"> tannins using FeCl</w:t>
      </w:r>
      <w:r w:rsidRPr="00422B98">
        <w:rPr>
          <w:rFonts w:ascii="Times New Roman" w:eastAsia="Times New Roman" w:hAnsi="Times New Roman" w:cs="Times New Roman"/>
          <w:color w:val="000000"/>
          <w:sz w:val="22"/>
          <w:szCs w:val="22"/>
          <w:vertAlign w:val="subscript"/>
        </w:rPr>
        <w:t>3</w:t>
      </w:r>
      <w:r w:rsidRPr="00422B98">
        <w:rPr>
          <w:rFonts w:ascii="Times New Roman" w:eastAsia="Times New Roman" w:hAnsi="Times New Roman" w:cs="Times New Roman"/>
          <w:color w:val="000000"/>
          <w:sz w:val="22"/>
          <w:szCs w:val="22"/>
        </w:rPr>
        <w:t xml:space="preserve"> solution, and steroids or terpenoids using the Liebermann–Burchard reagent.</w:t>
      </w:r>
    </w:p>
    <w:p w14:paraId="3B6BFE80" w14:textId="77777777" w:rsidR="00422B98" w:rsidRPr="00422B98" w:rsidRDefault="00422B98" w:rsidP="00422B98">
      <w:pPr>
        <w:pStyle w:val="Heading2"/>
        <w:spacing w:before="0" w:after="0"/>
        <w:ind w:left="0" w:firstLine="0"/>
        <w:rPr>
          <w:rFonts w:ascii="Times New Roman" w:eastAsia="Times New Roman" w:hAnsi="Times New Roman" w:cs="Times New Roman"/>
          <w:color w:val="000000"/>
          <w:sz w:val="22"/>
          <w:szCs w:val="22"/>
        </w:rPr>
      </w:pPr>
      <w:bookmarkStart w:id="2" w:name="determination-of-antioxidant-activity"/>
      <w:r w:rsidRPr="00422B98">
        <w:rPr>
          <w:rFonts w:ascii="Times New Roman" w:eastAsia="Times New Roman" w:hAnsi="Times New Roman" w:cs="Times New Roman"/>
          <w:color w:val="000000"/>
          <w:sz w:val="22"/>
          <w:szCs w:val="22"/>
        </w:rPr>
        <w:t>Determination of Antioxidant Activity</w:t>
      </w:r>
    </w:p>
    <w:p w14:paraId="390F371D" w14:textId="77777777" w:rsidR="00422B98" w:rsidRPr="00422B98" w:rsidRDefault="00422B98" w:rsidP="00422B98">
      <w:pPr>
        <w:pStyle w:val="FirstParagraph"/>
        <w:spacing w:before="0" w:after="0"/>
        <w:ind w:firstLine="720"/>
        <w:jc w:val="both"/>
        <w:rPr>
          <w:rFonts w:ascii="Times New Roman" w:eastAsia="Times New Roman" w:hAnsi="Times New Roman" w:cs="Times New Roman"/>
          <w:color w:val="000000"/>
          <w:sz w:val="22"/>
          <w:szCs w:val="22"/>
        </w:rPr>
      </w:pPr>
      <w:r w:rsidRPr="00422B98">
        <w:rPr>
          <w:rFonts w:ascii="Times New Roman" w:eastAsia="Times New Roman" w:hAnsi="Times New Roman" w:cs="Times New Roman"/>
          <w:color w:val="000000"/>
          <w:sz w:val="22"/>
          <w:szCs w:val="22"/>
        </w:rPr>
        <w:t xml:space="preserve">Antioxidant activity was evaluated using the DPPH radical scavenging assay according to </w:t>
      </w:r>
      <w:r w:rsidRPr="00422B98">
        <w:rPr>
          <w:rFonts w:ascii="Times New Roman" w:eastAsia="Times New Roman" w:hAnsi="Times New Roman" w:cs="Times New Roman"/>
          <w:noProof/>
          <w:color w:val="000000"/>
          <w:sz w:val="22"/>
          <w:szCs w:val="22"/>
        </w:rPr>
        <w:t>Kiromah et al.</w:t>
      </w:r>
      <w:r w:rsidRPr="00422B98">
        <w:rPr>
          <w:rFonts w:ascii="Times New Roman" w:eastAsia="Times New Roman" w:hAnsi="Times New Roman" w:cs="Times New Roman"/>
          <w:color w:val="000000"/>
          <w:sz w:val="22"/>
          <w:szCs w:val="22"/>
        </w:rPr>
        <w:t xml:space="preserve"> </w:t>
      </w:r>
      <w:r w:rsidRPr="00422B98">
        <w:rPr>
          <w:rFonts w:ascii="Times New Roman" w:eastAsia="Times New Roman" w:hAnsi="Times New Roman" w:cs="Times New Roman"/>
          <w:color w:val="000000"/>
          <w:sz w:val="22"/>
          <w:szCs w:val="22"/>
        </w:rPr>
        <w:fldChar w:fldCharType="begin" w:fldLock="1"/>
      </w:r>
      <w:r w:rsidRPr="00422B98">
        <w:rPr>
          <w:rFonts w:ascii="Times New Roman" w:eastAsia="Times New Roman" w:hAnsi="Times New Roman" w:cs="Times New Roman"/>
          <w:color w:val="000000"/>
          <w:sz w:val="22"/>
          <w:szCs w:val="22"/>
        </w:rPr>
        <w:instrText>ADDIN CSL_CITATION {"citationItems":[{"id":"ITEM-1","itemData":{"author":[{"dropping-particle":"","family":"Kiromah","given":"Naelaz Wakhidatul","non-dropping-particle":"","parse-names":false,"suffix":""},{"dropping-particle":"","family":"Husain","given":"Sadam","non-dropping-particle":"","parse-names":false,"suffix":""},{"dropping-particle":"","family":"Rahayu","given":"Titi Pudji","non-dropping-particle":"","parse-names":false,"suffix":""}],"id":"ITEM-1","issue":"1","issued":{"date-parts":[["2021"]]},"page":"60-67","title":"Uji Aktivitas Antioksidan Ekstrak Etanol Daun Ganitri ( Elaeocarpus Ganitrus Roxb .) dengan Metode DPPH ( 2 , 2 Difenil-1-Pikrilhidazil ) Antioxidant Activity Test of Ganitri ( Elaeocarpus Ganitrus Roxb .) Leaf Ethanol Extract Using the DPPH ( 2 , 2 Difen","type":"article-journal","volume":"18"},"suppress-author":1,"uris":["http://www.mendeley.com/documents/?uuid=e846e8d4-5245-4cae-827a-e4dfca320403"]}],"mendeley":{"formattedCitation":"(2021)","plainTextFormattedCitation":"(2021)","previouslyFormattedCitation":"(2021)"},"properties":{"noteIndex":0},"schema":"https://github.com/citation-style-language/schema/raw/master/csl-citation.json"}</w:instrText>
      </w:r>
      <w:r w:rsidRPr="00422B98">
        <w:rPr>
          <w:rFonts w:ascii="Times New Roman" w:eastAsia="Times New Roman" w:hAnsi="Times New Roman" w:cs="Times New Roman"/>
          <w:color w:val="000000"/>
          <w:sz w:val="22"/>
          <w:szCs w:val="22"/>
        </w:rPr>
        <w:fldChar w:fldCharType="separate"/>
      </w:r>
      <w:r w:rsidRPr="00422B98">
        <w:rPr>
          <w:rFonts w:ascii="Times New Roman" w:eastAsia="Times New Roman" w:hAnsi="Times New Roman" w:cs="Times New Roman"/>
          <w:noProof/>
          <w:color w:val="000000"/>
          <w:sz w:val="22"/>
          <w:szCs w:val="22"/>
        </w:rPr>
        <w:t>(2021)</w:t>
      </w:r>
      <w:r w:rsidRPr="00422B98">
        <w:rPr>
          <w:rFonts w:ascii="Times New Roman" w:eastAsia="Times New Roman" w:hAnsi="Times New Roman" w:cs="Times New Roman"/>
          <w:color w:val="000000"/>
          <w:sz w:val="22"/>
          <w:szCs w:val="22"/>
        </w:rPr>
        <w:fldChar w:fldCharType="end"/>
      </w:r>
      <w:r w:rsidRPr="00422B98">
        <w:rPr>
          <w:rFonts w:ascii="Times New Roman" w:eastAsia="Times New Roman" w:hAnsi="Times New Roman" w:cs="Times New Roman"/>
          <w:color w:val="000000"/>
          <w:sz w:val="22"/>
          <w:szCs w:val="22"/>
        </w:rPr>
        <w:t xml:space="preserve"> and </w:t>
      </w:r>
      <w:r w:rsidRPr="00422B98">
        <w:rPr>
          <w:rFonts w:ascii="Times New Roman" w:eastAsia="Times New Roman" w:hAnsi="Times New Roman" w:cs="Times New Roman"/>
          <w:noProof/>
          <w:color w:val="000000"/>
          <w:sz w:val="22"/>
          <w:szCs w:val="22"/>
        </w:rPr>
        <w:t>Megawati et al</w:t>
      </w:r>
      <w:r w:rsidRPr="00422B98">
        <w:rPr>
          <w:rFonts w:ascii="Times New Roman" w:eastAsia="Times New Roman" w:hAnsi="Times New Roman" w:cs="Times New Roman"/>
          <w:color w:val="000000"/>
          <w:sz w:val="22"/>
          <w:szCs w:val="22"/>
        </w:rPr>
        <w:t xml:space="preserve"> </w:t>
      </w:r>
      <w:r w:rsidRPr="00422B98">
        <w:rPr>
          <w:rFonts w:ascii="Times New Roman" w:eastAsia="Times New Roman" w:hAnsi="Times New Roman" w:cs="Times New Roman"/>
          <w:color w:val="000000"/>
          <w:sz w:val="22"/>
          <w:szCs w:val="22"/>
        </w:rPr>
        <w:fldChar w:fldCharType="begin" w:fldLock="1"/>
      </w:r>
      <w:r w:rsidRPr="00422B98">
        <w:rPr>
          <w:rFonts w:ascii="Times New Roman" w:eastAsia="Times New Roman" w:hAnsi="Times New Roman" w:cs="Times New Roman"/>
          <w:color w:val="000000"/>
          <w:sz w:val="22"/>
          <w:szCs w:val="22"/>
        </w:rPr>
        <w:instrText>ADDIN CSL_CITATION {"citationItems":[{"id":"ITEM-1","itemData":{"author":[{"dropping-particle":"","family":"Megawati","given":"","non-dropping-particle":"","parse-names":false,"suffix":""},{"dropping-particle":"","family":"Sukmawati","given":"","non-dropping-particle":"","parse-names":false,"suffix":""},{"dropping-particle":"","family":"Aminah","given":"","non-dropping-particle":"","parse-names":false,"suffix":""}],"id":"ITEM-1","issue":"02","issued":{"date-parts":[["2021"]]},"page":"95-102","title":"Uji Aktivitas Antioksidan Fraksi Etil Asetat Daun Asam Jawa (Tamarindus Indica L) Dengan Metode DPPH(1,1 Diphenyl-2-Picrylhydrazil)","type":"article-journal","volume":"02"},"suppress-author":1,"uris":["http://www.mendeley.com/documents/?uuid=38b3d8d6-f8d0-4f23-bad3-e1b0e66bf97e"]}],"mendeley":{"formattedCitation":"(2021)","plainTextFormattedCitation":"(2021)","previouslyFormattedCitation":"(2021)"},"properties":{"noteIndex":0},"schema":"https://github.com/citation-style-language/schema/raw/master/csl-citation.json"}</w:instrText>
      </w:r>
      <w:r w:rsidRPr="00422B98">
        <w:rPr>
          <w:rFonts w:ascii="Times New Roman" w:eastAsia="Times New Roman" w:hAnsi="Times New Roman" w:cs="Times New Roman"/>
          <w:color w:val="000000"/>
          <w:sz w:val="22"/>
          <w:szCs w:val="22"/>
        </w:rPr>
        <w:fldChar w:fldCharType="separate"/>
      </w:r>
      <w:r w:rsidRPr="00422B98">
        <w:rPr>
          <w:rFonts w:ascii="Times New Roman" w:eastAsia="Times New Roman" w:hAnsi="Times New Roman" w:cs="Times New Roman"/>
          <w:noProof/>
          <w:color w:val="000000"/>
          <w:sz w:val="22"/>
          <w:szCs w:val="22"/>
        </w:rPr>
        <w:t>(2021)</w:t>
      </w:r>
      <w:r w:rsidRPr="00422B98">
        <w:rPr>
          <w:rFonts w:ascii="Times New Roman" w:eastAsia="Times New Roman" w:hAnsi="Times New Roman" w:cs="Times New Roman"/>
          <w:color w:val="000000"/>
          <w:sz w:val="22"/>
          <w:szCs w:val="22"/>
        </w:rPr>
        <w:fldChar w:fldCharType="end"/>
      </w:r>
      <w:r w:rsidRPr="00422B98">
        <w:rPr>
          <w:rFonts w:ascii="Times New Roman" w:eastAsia="Times New Roman" w:hAnsi="Times New Roman" w:cs="Times New Roman"/>
          <w:color w:val="000000"/>
          <w:sz w:val="22"/>
          <w:szCs w:val="22"/>
        </w:rPr>
        <w:t>. A 39.7 ppm DPPH solution was prepared by dissolving 2 mg DPPH in 50 mL ethanol p.a. Tamarind leaf extract stock solution (1000 ppm) was prepared and diluted to concentrations of 20, 40, 60, 80, and 100 ppm. Ascorbic acid was used as the reference standard. 4 mL of sample or standard solution was mixed with 1 mL of DPPH solution and incubated in the dark for 30 min. Absorbance was measured at 517 nm using a UV–</w:t>
      </w:r>
      <w:proofErr w:type="gramStart"/>
      <w:r w:rsidRPr="00422B98">
        <w:rPr>
          <w:rFonts w:ascii="Times New Roman" w:eastAsia="Times New Roman" w:hAnsi="Times New Roman" w:cs="Times New Roman"/>
          <w:color w:val="000000"/>
          <w:sz w:val="22"/>
          <w:szCs w:val="22"/>
        </w:rPr>
        <w:t>Vis</w:t>
      </w:r>
      <w:proofErr w:type="gramEnd"/>
      <w:r w:rsidRPr="00422B98">
        <w:rPr>
          <w:rFonts w:ascii="Times New Roman" w:eastAsia="Times New Roman" w:hAnsi="Times New Roman" w:cs="Times New Roman"/>
          <w:color w:val="000000"/>
          <w:sz w:val="22"/>
          <w:szCs w:val="22"/>
        </w:rPr>
        <w:t xml:space="preserve"> spectrophotometer. Antioxidant activity was expressed as percentage inhibition and inhibitory concentration (IC</w:t>
      </w:r>
      <w:r w:rsidRPr="00422B98">
        <w:rPr>
          <w:rFonts w:ascii="Times New Roman" w:eastAsia="Times New Roman" w:hAnsi="Times New Roman" w:cs="Times New Roman"/>
          <w:color w:val="000000"/>
          <w:sz w:val="22"/>
          <w:szCs w:val="22"/>
          <w:vertAlign w:val="subscript"/>
        </w:rPr>
        <w:t>50</w:t>
      </w:r>
      <w:r w:rsidRPr="00422B98">
        <w:rPr>
          <w:rFonts w:ascii="Times New Roman" w:eastAsia="Times New Roman" w:hAnsi="Times New Roman" w:cs="Times New Roman"/>
          <w:color w:val="000000"/>
          <w:sz w:val="22"/>
          <w:szCs w:val="22"/>
        </w:rPr>
        <w:t>) values obtained through linear regression analysis.</w:t>
      </w:r>
    </w:p>
    <w:p w14:paraId="17C2195F" w14:textId="77777777" w:rsidR="00422B98" w:rsidRPr="00422B98" w:rsidRDefault="00422B98" w:rsidP="00422B98">
      <w:pPr>
        <w:pStyle w:val="Heading2"/>
        <w:spacing w:before="0" w:after="0"/>
        <w:ind w:left="0" w:firstLine="0"/>
        <w:rPr>
          <w:rFonts w:ascii="Times New Roman" w:eastAsia="Times New Roman" w:hAnsi="Times New Roman" w:cs="Times New Roman"/>
          <w:color w:val="000000"/>
          <w:sz w:val="22"/>
          <w:szCs w:val="22"/>
        </w:rPr>
      </w:pPr>
      <w:bookmarkStart w:id="3" w:name="X7475d8b5dc7d36dd31a6c546c8494a050556cd9"/>
      <w:bookmarkEnd w:id="2"/>
      <w:r w:rsidRPr="00422B98">
        <w:rPr>
          <w:rFonts w:ascii="Times New Roman" w:eastAsia="Times New Roman" w:hAnsi="Times New Roman" w:cs="Times New Roman"/>
          <w:color w:val="000000"/>
          <w:sz w:val="22"/>
          <w:szCs w:val="22"/>
        </w:rPr>
        <w:t>Formulation of Coconut Oil with Tamarind Leaf Extract</w:t>
      </w:r>
    </w:p>
    <w:p w14:paraId="0C541015" w14:textId="77777777" w:rsidR="00422B98" w:rsidRPr="00422B98" w:rsidRDefault="00422B98" w:rsidP="00422B98">
      <w:pPr>
        <w:pStyle w:val="FirstParagraph"/>
        <w:spacing w:before="0" w:after="0"/>
        <w:ind w:firstLine="720"/>
        <w:jc w:val="both"/>
        <w:rPr>
          <w:rFonts w:ascii="Times New Roman" w:eastAsia="Times New Roman" w:hAnsi="Times New Roman" w:cs="Times New Roman"/>
          <w:color w:val="000000"/>
          <w:sz w:val="22"/>
          <w:szCs w:val="22"/>
        </w:rPr>
      </w:pPr>
      <w:r w:rsidRPr="00422B98">
        <w:rPr>
          <w:rFonts w:ascii="Times New Roman" w:eastAsia="Times New Roman" w:hAnsi="Times New Roman" w:cs="Times New Roman"/>
          <w:color w:val="000000"/>
          <w:sz w:val="22"/>
          <w:szCs w:val="22"/>
        </w:rPr>
        <w:t xml:space="preserve">The formulation procedure followed by </w:t>
      </w:r>
      <w:r w:rsidRPr="00422B98">
        <w:rPr>
          <w:rFonts w:ascii="Times New Roman" w:eastAsia="Times New Roman" w:hAnsi="Times New Roman" w:cs="Times New Roman"/>
          <w:noProof/>
          <w:color w:val="000000"/>
          <w:sz w:val="22"/>
          <w:szCs w:val="22"/>
        </w:rPr>
        <w:t xml:space="preserve">Rejeki </w:t>
      </w:r>
      <w:r w:rsidRPr="00422B98">
        <w:rPr>
          <w:rFonts w:ascii="Times New Roman" w:eastAsia="Times New Roman" w:hAnsi="Times New Roman" w:cs="Times New Roman"/>
          <w:color w:val="000000"/>
          <w:sz w:val="22"/>
          <w:szCs w:val="22"/>
        </w:rPr>
        <w:fldChar w:fldCharType="begin" w:fldLock="1"/>
      </w:r>
      <w:r w:rsidRPr="00422B98">
        <w:rPr>
          <w:rFonts w:ascii="Times New Roman" w:eastAsia="Times New Roman" w:hAnsi="Times New Roman" w:cs="Times New Roman"/>
          <w:color w:val="000000"/>
          <w:sz w:val="22"/>
          <w:szCs w:val="22"/>
        </w:rPr>
        <w:instrText>ADDIN CSL_CITATION {"citationItems":[{"id":"ITEM-1","itemData":{"author":[{"dropping-particle":"","family":"Rejeki","given":"Dwi Putri","non-dropping-particle":"","parse-names":false,"suffix":""}],"id":"ITEM-1","issue":"2","issued":{"date-parts":[["2018"]]},"page":"103-202","title":"Lantanida Journal","type":"article-journal","volume":"6"},"suppress-author":1,"uris":["http://www.mendeley.com/documents/?uuid=47bf5efc-94ce-4202-86bf-c1d125bf0831"]}],"mendeley":{"formattedCitation":"(2018)","plainTextFormattedCitation":"(2018)","previouslyFormattedCitation":"(2018)"},"properties":{"noteIndex":0},"schema":"https://github.com/citation-style-language/schema/raw/master/csl-citation.json"}</w:instrText>
      </w:r>
      <w:r w:rsidRPr="00422B98">
        <w:rPr>
          <w:rFonts w:ascii="Times New Roman" w:eastAsia="Times New Roman" w:hAnsi="Times New Roman" w:cs="Times New Roman"/>
          <w:color w:val="000000"/>
          <w:sz w:val="22"/>
          <w:szCs w:val="22"/>
        </w:rPr>
        <w:fldChar w:fldCharType="separate"/>
      </w:r>
      <w:r w:rsidRPr="00422B98">
        <w:rPr>
          <w:rFonts w:ascii="Times New Roman" w:eastAsia="Times New Roman" w:hAnsi="Times New Roman" w:cs="Times New Roman"/>
          <w:noProof/>
          <w:color w:val="000000"/>
          <w:sz w:val="22"/>
          <w:szCs w:val="22"/>
        </w:rPr>
        <w:t>(2018)</w:t>
      </w:r>
      <w:r w:rsidRPr="00422B98">
        <w:rPr>
          <w:rFonts w:ascii="Times New Roman" w:eastAsia="Times New Roman" w:hAnsi="Times New Roman" w:cs="Times New Roman"/>
          <w:color w:val="000000"/>
          <w:sz w:val="22"/>
          <w:szCs w:val="22"/>
        </w:rPr>
        <w:fldChar w:fldCharType="end"/>
      </w:r>
      <w:r w:rsidRPr="00422B98">
        <w:rPr>
          <w:rFonts w:ascii="Times New Roman" w:eastAsia="Times New Roman" w:hAnsi="Times New Roman" w:cs="Times New Roman"/>
          <w:color w:val="000000"/>
          <w:sz w:val="22"/>
          <w:szCs w:val="22"/>
        </w:rPr>
        <w:t>. Coconut oil samples (100 mL) were supplemented with tamarind leaf ethanol extract at 1%, 2%, and 3% (b/v), with untreated oil serving as the control. Each formulation was heated at 90 °C for 15 min with continuous stirring to ensure homogeneous mixing. Samples were then stored under open-air conditions for 15 days before quality evaluation.</w:t>
      </w:r>
    </w:p>
    <w:p w14:paraId="0FF99C72" w14:textId="77777777" w:rsidR="00422B98" w:rsidRPr="00422B98" w:rsidRDefault="00422B98" w:rsidP="00422B98">
      <w:pPr>
        <w:pStyle w:val="Heading2"/>
        <w:spacing w:before="0" w:after="0"/>
        <w:ind w:left="0" w:firstLine="0"/>
        <w:jc w:val="both"/>
        <w:rPr>
          <w:rFonts w:ascii="Times New Roman" w:eastAsia="Times New Roman" w:hAnsi="Times New Roman" w:cs="Times New Roman"/>
          <w:color w:val="000000"/>
          <w:sz w:val="22"/>
          <w:szCs w:val="22"/>
        </w:rPr>
      </w:pPr>
      <w:bookmarkStart w:id="4" w:name="evaluation-of-coconut-oil-quality"/>
      <w:bookmarkEnd w:id="3"/>
      <w:r w:rsidRPr="00422B98">
        <w:rPr>
          <w:rFonts w:ascii="Times New Roman" w:eastAsia="Times New Roman" w:hAnsi="Times New Roman" w:cs="Times New Roman"/>
          <w:color w:val="000000"/>
          <w:sz w:val="22"/>
          <w:szCs w:val="22"/>
        </w:rPr>
        <w:t>Evaluation of Coconut Oil Quality</w:t>
      </w:r>
    </w:p>
    <w:p w14:paraId="75F37855" w14:textId="77777777" w:rsidR="00422B98" w:rsidRPr="00422B98" w:rsidRDefault="00422B98" w:rsidP="00422B98">
      <w:pPr>
        <w:pStyle w:val="FirstParagraph"/>
        <w:spacing w:before="0" w:after="0"/>
        <w:ind w:firstLine="720"/>
        <w:jc w:val="both"/>
        <w:rPr>
          <w:rFonts w:ascii="Times New Roman" w:eastAsia="Times New Roman" w:hAnsi="Times New Roman" w:cs="Times New Roman"/>
          <w:color w:val="000000"/>
          <w:sz w:val="22"/>
          <w:szCs w:val="22"/>
        </w:rPr>
      </w:pPr>
      <w:r w:rsidRPr="00422B98">
        <w:rPr>
          <w:rFonts w:ascii="Times New Roman" w:eastAsia="Times New Roman" w:hAnsi="Times New Roman" w:cs="Times New Roman"/>
          <w:color w:val="000000"/>
          <w:sz w:val="22"/>
          <w:szCs w:val="22"/>
        </w:rPr>
        <w:t>Physicochemical quality analysis was performed in accordance with the Indonesian National Standard for coconut oil (SNI 3741:2013). Moisture content, peroxide value, free fatty acid content, and saponification value were determined according to the procedures specified in the standard. Moisture content was determined gravimetrically by heating oil samples at 110 °C until constant weight was achieved. Peroxide value was determined by iodometric titration with sodium thiosulfate. Free fatty acid content was analyzed by titration with 0.1 N NaOH using phenolphthalein as an indicator. The saponification value was determined by refluxing oil samples with alcoholic KOH, then titrating with 0.5 N HCl.</w:t>
      </w:r>
    </w:p>
    <w:p w14:paraId="185C5A8E" w14:textId="77777777" w:rsidR="00422B98" w:rsidRPr="00422B98" w:rsidRDefault="00422B98" w:rsidP="00422B98">
      <w:pPr>
        <w:pStyle w:val="BodyText"/>
        <w:spacing w:after="0" w:line="240" w:lineRule="auto"/>
        <w:ind w:firstLine="720"/>
        <w:jc w:val="both"/>
        <w:rPr>
          <w:rFonts w:ascii="Times New Roman" w:eastAsia="Times New Roman" w:hAnsi="Times New Roman"/>
          <w:color w:val="000000"/>
        </w:rPr>
      </w:pPr>
      <w:r w:rsidRPr="00422B98">
        <w:rPr>
          <w:rFonts w:ascii="Times New Roman" w:eastAsia="Times New Roman" w:hAnsi="Times New Roman"/>
          <w:color w:val="000000"/>
        </w:rPr>
        <w:t>Each physicochemical quality parameter (moisture content, peroxide value, free fatty acid content, and saponification value) was determined using three independent experimental replicates (n = 3). The reported values are expressed as mean ± standard deviation (SD), calculated from the replicate measurements to represent experimental variability.</w:t>
      </w:r>
    </w:p>
    <w:p w14:paraId="2A0AAEDD" w14:textId="77777777" w:rsidR="00422B98" w:rsidRPr="00422B98" w:rsidRDefault="00422B98" w:rsidP="00422B98">
      <w:pPr>
        <w:pStyle w:val="BodyText"/>
        <w:spacing w:after="0" w:line="240" w:lineRule="auto"/>
        <w:ind w:firstLine="720"/>
        <w:jc w:val="both"/>
        <w:rPr>
          <w:rFonts w:ascii="Times New Roman" w:eastAsia="Times New Roman" w:hAnsi="Times New Roman"/>
          <w:color w:val="000000"/>
        </w:rPr>
      </w:pPr>
      <w:r w:rsidRPr="00422B98">
        <w:rPr>
          <w:rFonts w:ascii="Times New Roman" w:eastAsia="Times New Roman" w:hAnsi="Times New Roman"/>
          <w:color w:val="000000"/>
        </w:rPr>
        <w:t>Statistical analyses were conducted using one-way analysis of variance (ANOVA) to evaluate differences among extract concentration treatments. When significant differences were detected (p &lt; 0.05), Tukey's Honestly Significant Difference (HSD) test was applied for multiple comparisons of treatment means. Regression analysis was used to determine IC₅₀ values from DPPH assay data and to establish kinetic models for Arrhenius-based shelf-life prediction. All statistical analyses were performed at a significance level of 95% (p &lt; 0.05).</w:t>
      </w:r>
    </w:p>
    <w:p w14:paraId="76E30D61" w14:textId="77777777" w:rsidR="00422B98" w:rsidRPr="00422B98" w:rsidRDefault="00422B98" w:rsidP="00422B98">
      <w:pPr>
        <w:pStyle w:val="BodyText"/>
        <w:spacing w:after="0" w:line="240" w:lineRule="auto"/>
        <w:ind w:firstLine="720"/>
        <w:jc w:val="both"/>
        <w:rPr>
          <w:rFonts w:ascii="Times New Roman" w:eastAsia="Times New Roman" w:hAnsi="Times New Roman"/>
          <w:color w:val="000000"/>
        </w:rPr>
      </w:pPr>
    </w:p>
    <w:p w14:paraId="7F852BCF" w14:textId="77777777" w:rsidR="00422B98" w:rsidRPr="00422B98" w:rsidRDefault="00422B98" w:rsidP="00422B98">
      <w:pPr>
        <w:pStyle w:val="Heading2"/>
        <w:spacing w:before="0" w:after="0"/>
        <w:ind w:left="0" w:firstLine="0"/>
        <w:jc w:val="both"/>
        <w:rPr>
          <w:rFonts w:ascii="Times New Roman" w:eastAsia="Times New Roman" w:hAnsi="Times New Roman" w:cs="Times New Roman"/>
          <w:color w:val="000000"/>
          <w:sz w:val="22"/>
          <w:szCs w:val="22"/>
        </w:rPr>
      </w:pPr>
      <w:bookmarkStart w:id="5" w:name="Xfdcb0e97efa908c294d592a68644f6118e20fdc"/>
      <w:bookmarkEnd w:id="4"/>
      <w:r w:rsidRPr="00422B98">
        <w:rPr>
          <w:rFonts w:ascii="Times New Roman" w:eastAsia="Times New Roman" w:hAnsi="Times New Roman" w:cs="Times New Roman"/>
          <w:color w:val="000000"/>
          <w:sz w:val="22"/>
          <w:szCs w:val="22"/>
        </w:rPr>
        <w:t>Shelf-Life Estimation Using the ASLT Arrhenius Model</w:t>
      </w:r>
    </w:p>
    <w:p w14:paraId="32EEA1DB" w14:textId="77777777" w:rsidR="00422B98" w:rsidRPr="00422B98" w:rsidRDefault="00422B98" w:rsidP="00422B98">
      <w:pPr>
        <w:pStyle w:val="FirstParagraph"/>
        <w:spacing w:before="0" w:after="0"/>
        <w:ind w:firstLine="720"/>
        <w:jc w:val="both"/>
        <w:rPr>
          <w:rFonts w:ascii="Times New Roman" w:eastAsia="Times New Roman" w:hAnsi="Times New Roman" w:cs="Times New Roman"/>
          <w:color w:val="000000"/>
          <w:sz w:val="22"/>
          <w:szCs w:val="22"/>
        </w:rPr>
      </w:pPr>
      <w:r w:rsidRPr="00422B98">
        <w:rPr>
          <w:rFonts w:ascii="Times New Roman" w:eastAsia="Times New Roman" w:hAnsi="Times New Roman" w:cs="Times New Roman"/>
          <w:color w:val="000000"/>
          <w:sz w:val="22"/>
          <w:szCs w:val="22"/>
        </w:rPr>
        <w:t xml:space="preserve">Shelf-life estimation was conducted using the Arrhenius model for accelerated shelf-life testing, following the methods of </w:t>
      </w:r>
      <w:r w:rsidRPr="00422B98">
        <w:rPr>
          <w:rFonts w:ascii="Times New Roman" w:eastAsia="Times New Roman" w:hAnsi="Times New Roman" w:cs="Times New Roman"/>
          <w:noProof/>
          <w:color w:val="000000"/>
          <w:sz w:val="22"/>
          <w:szCs w:val="22"/>
        </w:rPr>
        <w:t xml:space="preserve">Rejeki </w:t>
      </w:r>
      <w:r w:rsidRPr="00422B98">
        <w:rPr>
          <w:rFonts w:ascii="Times New Roman" w:eastAsia="Times New Roman" w:hAnsi="Times New Roman" w:cs="Times New Roman"/>
          <w:color w:val="000000"/>
          <w:sz w:val="22"/>
          <w:szCs w:val="22"/>
        </w:rPr>
        <w:fldChar w:fldCharType="begin" w:fldLock="1"/>
      </w:r>
      <w:r w:rsidRPr="00422B98">
        <w:rPr>
          <w:rFonts w:ascii="Times New Roman" w:eastAsia="Times New Roman" w:hAnsi="Times New Roman" w:cs="Times New Roman"/>
          <w:color w:val="000000"/>
          <w:sz w:val="22"/>
          <w:szCs w:val="22"/>
        </w:rPr>
        <w:instrText>ADDIN CSL_CITATION {"citationItems":[{"id":"ITEM-1","itemData":{"author":[{"dropping-particle":"","family":"Rejeki","given":"Dwi Putri","non-dropping-particle":"","parse-names":false,"suffix":""}],"id":"ITEM-1","issue":"2","issued":{"date-parts":[["2018"]]},"page":"103-202","title":"Lantanida Journal","type":"article-journal","volume":"6"},"suppress-author":1,"uris":["http://www.mendeley.com/documents/?uuid=47bf5efc-94ce-4202-86bf-c1d125bf0831"]}],"mendeley":{"formattedCitation":"(2018)","plainTextFormattedCitation":"(2018)","previouslyFormattedCitation":"(2018)"},"properties":{"noteIndex":0},"schema":"https://github.com/citation-style-language/schema/raw/master/csl-citation.json"}</w:instrText>
      </w:r>
      <w:r w:rsidRPr="00422B98">
        <w:rPr>
          <w:rFonts w:ascii="Times New Roman" w:eastAsia="Times New Roman" w:hAnsi="Times New Roman" w:cs="Times New Roman"/>
          <w:color w:val="000000"/>
          <w:sz w:val="22"/>
          <w:szCs w:val="22"/>
        </w:rPr>
        <w:fldChar w:fldCharType="separate"/>
      </w:r>
      <w:r w:rsidRPr="00422B98">
        <w:rPr>
          <w:rFonts w:ascii="Times New Roman" w:eastAsia="Times New Roman" w:hAnsi="Times New Roman" w:cs="Times New Roman"/>
          <w:noProof/>
          <w:color w:val="000000"/>
          <w:sz w:val="22"/>
          <w:szCs w:val="22"/>
        </w:rPr>
        <w:t>(2018)</w:t>
      </w:r>
      <w:r w:rsidRPr="00422B98">
        <w:rPr>
          <w:rFonts w:ascii="Times New Roman" w:eastAsia="Times New Roman" w:hAnsi="Times New Roman" w:cs="Times New Roman"/>
          <w:color w:val="000000"/>
          <w:sz w:val="22"/>
          <w:szCs w:val="22"/>
        </w:rPr>
        <w:fldChar w:fldCharType="end"/>
      </w:r>
      <w:r w:rsidRPr="00422B98">
        <w:rPr>
          <w:rFonts w:ascii="Times New Roman" w:eastAsia="Times New Roman" w:hAnsi="Times New Roman" w:cs="Times New Roman"/>
          <w:color w:val="000000"/>
          <w:sz w:val="22"/>
          <w:szCs w:val="22"/>
        </w:rPr>
        <w:t xml:space="preserve">, </w:t>
      </w:r>
      <w:r w:rsidRPr="00422B98">
        <w:rPr>
          <w:rFonts w:ascii="Times New Roman" w:eastAsia="Times New Roman" w:hAnsi="Times New Roman" w:cs="Times New Roman"/>
          <w:noProof/>
          <w:color w:val="000000"/>
          <w:sz w:val="22"/>
          <w:szCs w:val="22"/>
        </w:rPr>
        <w:t>Hasany et al.</w:t>
      </w:r>
      <w:r w:rsidRPr="00422B98">
        <w:rPr>
          <w:rFonts w:ascii="Times New Roman" w:eastAsia="Times New Roman" w:hAnsi="Times New Roman" w:cs="Times New Roman"/>
          <w:color w:val="000000"/>
          <w:sz w:val="22"/>
          <w:szCs w:val="22"/>
        </w:rPr>
        <w:fldChar w:fldCharType="begin" w:fldLock="1"/>
      </w:r>
      <w:r w:rsidRPr="00422B98">
        <w:rPr>
          <w:rFonts w:ascii="Times New Roman" w:eastAsia="Times New Roman" w:hAnsi="Times New Roman" w:cs="Times New Roman"/>
          <w:color w:val="000000"/>
          <w:sz w:val="22"/>
          <w:szCs w:val="22"/>
        </w:rPr>
        <w:instrText>ADDIN CSL_CITATION {"citationItems":[{"id":"ITEM-1","itemData":{"author":[{"dropping-particle":"","family":"Hasany","given":"Muhammad Rizqi","non-dropping-particle":"","parse-names":false,"suffix":""},{"dropping-particle":"","family":"Afrianto","given":"Eddy","non-dropping-particle":"","parse-names":false,"suffix":""},{"dropping-particle":"","family":"Pratama","given":"Intan","non-dropping-particle":"","parse-names":false,"suffix":""}],"id":"ITEM-1","issue":"1","issued":{"date-parts":[["2017"]]},"page":"48-55","title":"PENDUGAAN UMUR SIMPAN MENGGUNAKAN METODE ACCELERATED SHELF LIFE TEST ( ASLT ) MODEL ARRHENIUS PADA FRUIT NORI","type":"article-journal","volume":"VIII"},"suppress-author":1,"uris":["http://www.mendeley.com/documents/?uuid=94a0fb78-bc87-405a-bb5d-028c7f7719e4"]}],"mendeley":{"formattedCitation":"(2017)","plainTextFormattedCitation":"(2017)","previouslyFormattedCitation":"(2017)"},"properties":{"noteIndex":0},"schema":"https://github.com/citation-style-language/schema/raw/master/csl-citation.json"}</w:instrText>
      </w:r>
      <w:r w:rsidRPr="00422B98">
        <w:rPr>
          <w:rFonts w:ascii="Times New Roman" w:eastAsia="Times New Roman" w:hAnsi="Times New Roman" w:cs="Times New Roman"/>
          <w:color w:val="000000"/>
          <w:sz w:val="22"/>
          <w:szCs w:val="22"/>
        </w:rPr>
        <w:fldChar w:fldCharType="separate"/>
      </w:r>
      <w:r w:rsidRPr="00422B98">
        <w:rPr>
          <w:rFonts w:ascii="Times New Roman" w:eastAsia="Times New Roman" w:hAnsi="Times New Roman" w:cs="Times New Roman"/>
          <w:noProof/>
          <w:color w:val="000000"/>
          <w:sz w:val="22"/>
          <w:szCs w:val="22"/>
        </w:rPr>
        <w:t>(2017)</w:t>
      </w:r>
      <w:r w:rsidRPr="00422B98">
        <w:rPr>
          <w:rFonts w:ascii="Times New Roman" w:eastAsia="Times New Roman" w:hAnsi="Times New Roman" w:cs="Times New Roman"/>
          <w:color w:val="000000"/>
          <w:sz w:val="22"/>
          <w:szCs w:val="22"/>
        </w:rPr>
        <w:fldChar w:fldCharType="end"/>
      </w:r>
      <w:r w:rsidRPr="00422B98">
        <w:rPr>
          <w:rFonts w:ascii="Times New Roman" w:eastAsia="Times New Roman" w:hAnsi="Times New Roman" w:cs="Times New Roman"/>
          <w:color w:val="000000"/>
          <w:sz w:val="22"/>
          <w:szCs w:val="22"/>
        </w:rPr>
        <w:t xml:space="preserve"> and </w:t>
      </w:r>
      <w:r w:rsidRPr="00422B98">
        <w:rPr>
          <w:rFonts w:ascii="Times New Roman" w:eastAsia="Times New Roman" w:hAnsi="Times New Roman" w:cs="Times New Roman"/>
          <w:noProof/>
          <w:color w:val="000000"/>
          <w:sz w:val="22"/>
          <w:szCs w:val="22"/>
        </w:rPr>
        <w:t>Susanti</w:t>
      </w:r>
      <w:r w:rsidRPr="00422B98">
        <w:rPr>
          <w:rFonts w:ascii="Times New Roman" w:eastAsia="Times New Roman" w:hAnsi="Times New Roman" w:cs="Times New Roman"/>
          <w:color w:val="000000"/>
          <w:sz w:val="22"/>
          <w:szCs w:val="22"/>
        </w:rPr>
        <w:t xml:space="preserve"> </w:t>
      </w:r>
      <w:r w:rsidRPr="00422B98">
        <w:rPr>
          <w:rFonts w:ascii="Times New Roman" w:eastAsia="Times New Roman" w:hAnsi="Times New Roman" w:cs="Times New Roman"/>
          <w:color w:val="000000"/>
          <w:sz w:val="22"/>
          <w:szCs w:val="22"/>
        </w:rPr>
        <w:fldChar w:fldCharType="begin" w:fldLock="1"/>
      </w:r>
      <w:r w:rsidRPr="00422B98">
        <w:rPr>
          <w:rFonts w:ascii="Times New Roman" w:eastAsia="Times New Roman" w:hAnsi="Times New Roman" w:cs="Times New Roman"/>
          <w:color w:val="000000"/>
          <w:sz w:val="22"/>
          <w:szCs w:val="22"/>
        </w:rPr>
        <w:instrText>ADDIN CSL_CITATION {"citationItems":[{"id":"ITEM-1","itemData":{"author":[{"dropping-particle":"","family":"Susanti","given":"Irma","non-dropping-particle":"","parse-names":false,"suffix":""}],"id":"ITEM-1","issue":"2","issued":{"date-parts":[["2016"]]},"page":"57-65","title":"Karakterisasi dan Pendugaan Daya Tahan Simpan Bio Oil ( Minyak Alpukat dan Minyak Buah Merah )","type":"article-journal","volume":"33"},"suppress-author":1,"uris":["http://www.mendeley.com/documents/?uuid=ee88b0e9-a3b4-4732-ab2f-0092eec127e5"]}],"mendeley":{"formattedCitation":"(2016)","plainTextFormattedCitation":"(2016)","previouslyFormattedCitation":"(2016)"},"properties":{"noteIndex":0},"schema":"https://github.com/citation-style-language/schema/raw/master/csl-citation.json"}</w:instrText>
      </w:r>
      <w:r w:rsidRPr="00422B98">
        <w:rPr>
          <w:rFonts w:ascii="Times New Roman" w:eastAsia="Times New Roman" w:hAnsi="Times New Roman" w:cs="Times New Roman"/>
          <w:color w:val="000000"/>
          <w:sz w:val="22"/>
          <w:szCs w:val="22"/>
        </w:rPr>
        <w:fldChar w:fldCharType="separate"/>
      </w:r>
      <w:r w:rsidRPr="00422B98">
        <w:rPr>
          <w:rFonts w:ascii="Times New Roman" w:eastAsia="Times New Roman" w:hAnsi="Times New Roman" w:cs="Times New Roman"/>
          <w:noProof/>
          <w:color w:val="000000"/>
          <w:sz w:val="22"/>
          <w:szCs w:val="22"/>
        </w:rPr>
        <w:t>(2016)</w:t>
      </w:r>
      <w:r w:rsidRPr="00422B98">
        <w:rPr>
          <w:rFonts w:ascii="Times New Roman" w:eastAsia="Times New Roman" w:hAnsi="Times New Roman" w:cs="Times New Roman"/>
          <w:color w:val="000000"/>
          <w:sz w:val="22"/>
          <w:szCs w:val="22"/>
        </w:rPr>
        <w:fldChar w:fldCharType="end"/>
      </w:r>
      <w:r w:rsidRPr="00422B98">
        <w:rPr>
          <w:rFonts w:ascii="Times New Roman" w:eastAsia="Times New Roman" w:hAnsi="Times New Roman" w:cs="Times New Roman"/>
          <w:color w:val="000000"/>
          <w:sz w:val="22"/>
          <w:szCs w:val="22"/>
        </w:rPr>
        <w:t>. Coconut oil containing the optimal extract concentration was stored at 25 °C, 29–31 °C, and 38–41 °C for 30 days, and analyses were performed every 5 days.</w:t>
      </w:r>
    </w:p>
    <w:p w14:paraId="07C41991" w14:textId="77777777" w:rsidR="00422B98" w:rsidRPr="00422B98" w:rsidRDefault="00422B98" w:rsidP="00422B98">
      <w:pPr>
        <w:pStyle w:val="FirstParagraph"/>
        <w:spacing w:before="0" w:after="0"/>
        <w:ind w:firstLine="720"/>
        <w:jc w:val="both"/>
        <w:rPr>
          <w:rFonts w:ascii="Times New Roman" w:eastAsia="Times New Roman" w:hAnsi="Times New Roman" w:cs="Times New Roman"/>
          <w:color w:val="000000"/>
          <w:sz w:val="22"/>
          <w:szCs w:val="22"/>
        </w:rPr>
      </w:pPr>
      <w:r w:rsidRPr="00422B98">
        <w:rPr>
          <w:rFonts w:ascii="Times New Roman" w:eastAsia="Times New Roman" w:hAnsi="Times New Roman" w:cs="Times New Roman"/>
          <w:color w:val="000000"/>
          <w:sz w:val="22"/>
          <w:szCs w:val="22"/>
        </w:rPr>
        <w:t>Free fatty acid content was selected as the critical quality parameter because it reflects hydrolytic and oxidative deterioration during storage. Zero-order and first-order kinetic models were applied to determine the deterioration kinetics. The model with the highest correlation coefficient (R2) was selected for Arrhenius modelling, and shelf-life prediction was calculated based on the Arrhenius equation.</w:t>
      </w:r>
    </w:p>
    <w:bookmarkEnd w:id="5"/>
    <w:p w14:paraId="09157C56" w14:textId="77777777" w:rsidR="00422B98" w:rsidRPr="00422B98" w:rsidRDefault="00422B98" w:rsidP="00422B98">
      <w:pPr>
        <w:pBdr>
          <w:top w:val="nil"/>
          <w:left w:val="nil"/>
          <w:bottom w:val="nil"/>
          <w:right w:val="nil"/>
          <w:between w:val="nil"/>
        </w:pBdr>
        <w:jc w:val="both"/>
        <w:rPr>
          <w:b/>
          <w:color w:val="000000"/>
          <w:sz w:val="22"/>
          <w:szCs w:val="22"/>
        </w:rPr>
      </w:pPr>
    </w:p>
    <w:p w14:paraId="184FAC9C" w14:textId="77777777" w:rsidR="00422B98" w:rsidRPr="00422B98" w:rsidRDefault="00422B98" w:rsidP="00422B98">
      <w:pPr>
        <w:pBdr>
          <w:top w:val="nil"/>
          <w:left w:val="nil"/>
          <w:bottom w:val="nil"/>
          <w:right w:val="nil"/>
          <w:between w:val="nil"/>
        </w:pBdr>
        <w:jc w:val="both"/>
        <w:rPr>
          <w:color w:val="000000"/>
          <w:sz w:val="22"/>
          <w:szCs w:val="22"/>
        </w:rPr>
      </w:pPr>
      <w:r w:rsidRPr="00422B98">
        <w:rPr>
          <w:b/>
          <w:color w:val="000000"/>
          <w:sz w:val="22"/>
          <w:szCs w:val="22"/>
        </w:rPr>
        <w:t>RESULTS AND DISCUSSION</w:t>
      </w:r>
    </w:p>
    <w:p w14:paraId="439DAD72" w14:textId="77777777" w:rsidR="00422B98" w:rsidRPr="00422B98" w:rsidRDefault="00422B98" w:rsidP="00422B98">
      <w:pPr>
        <w:pBdr>
          <w:top w:val="nil"/>
          <w:left w:val="nil"/>
          <w:bottom w:val="nil"/>
          <w:right w:val="nil"/>
          <w:between w:val="nil"/>
        </w:pBdr>
        <w:jc w:val="both"/>
        <w:rPr>
          <w:b/>
          <w:sz w:val="22"/>
          <w:szCs w:val="22"/>
        </w:rPr>
      </w:pPr>
      <w:r w:rsidRPr="00422B98">
        <w:rPr>
          <w:b/>
          <w:sz w:val="22"/>
          <w:szCs w:val="22"/>
        </w:rPr>
        <w:t>Extraction Yield and Phytochemical Profile of Tamarind Leaf Extract</w:t>
      </w:r>
    </w:p>
    <w:p w14:paraId="1313C0EA"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Tamarind leaf ethanol extract (</w:t>
      </w:r>
      <w:r w:rsidRPr="00422B98">
        <w:rPr>
          <w:i/>
          <w:iCs/>
          <w:color w:val="000000"/>
          <w:sz w:val="22"/>
          <w:szCs w:val="22"/>
        </w:rPr>
        <w:t>Tamarindus indica</w:t>
      </w:r>
      <w:r w:rsidRPr="00422B98">
        <w:rPr>
          <w:color w:val="000000"/>
          <w:sz w:val="22"/>
          <w:szCs w:val="22"/>
        </w:rPr>
        <w:t xml:space="preserve"> L.) was successfully obtained by maceration with 96% ethanol. The initial dry sample weight was 1,132 g, and the extraction process yielded 298.36 g of concentrated extract, corresponding to a 26.31% yield. The relatively high extraction yield indicates that ethanol effectively extracted bioactive compounds from tamarind leaves. According to </w:t>
      </w:r>
      <w:r w:rsidRPr="00422B98">
        <w:rPr>
          <w:noProof/>
          <w:color w:val="000000"/>
          <w:sz w:val="22"/>
          <w:szCs w:val="22"/>
        </w:rPr>
        <w:t>Senduk et al</w:t>
      </w:r>
      <w:r w:rsidRPr="00422B98">
        <w:rPr>
          <w:color w:val="000000"/>
          <w:sz w:val="22"/>
          <w:szCs w:val="22"/>
        </w:rPr>
        <w:t xml:space="preserve"> </w:t>
      </w:r>
      <w:r w:rsidRPr="00422B98">
        <w:rPr>
          <w:color w:val="000000"/>
          <w:sz w:val="22"/>
          <w:szCs w:val="22"/>
        </w:rPr>
        <w:fldChar w:fldCharType="begin" w:fldLock="1"/>
      </w:r>
      <w:r w:rsidRPr="00422B98">
        <w:rPr>
          <w:color w:val="000000"/>
          <w:sz w:val="22"/>
          <w:szCs w:val="22"/>
        </w:rPr>
        <w:instrText>ADDIN CSL_CITATION {"citationItems":[{"id":"ITEM-1","itemData":{"author":[{"dropping-particle":"","family":"Senduk","given":"Toar Waraney","non-dropping-particle":"","parse-names":false,"suffix":""},{"dropping-particle":"","family":"Montolalu","given":"Lita A D Y","non-dropping-particle":"","parse-names":false,"suffix":""},{"dropping-particle":"","family":"Dotulong","given":"Verly","non-dropping-particle":"","parse-names":false,"suffix":""},{"dropping-particle":"","family":"Ratulangi","given":"Sam","non-dropping-particle":"","parse-names":false,"suffix":""},{"dropping-particle":"","family":"Ratulangi","given":"Universitas Sam","non-dropping-particle":"","parse-names":false,"suffix":""},{"dropping-particle":"","family":"Bahu","given":"Kampus Unsrat","non-dropping-particle":"","parse-names":false,"suffix":""}],"id":"ITEM-1","issue":"1","issued":{"date-parts":[["2020"]]},"page":"9-15","title":"RENDEMEN EKSTRAK AIR REBUSAN DAUN TUA MANGROVE Sonneratia alba (The rendement of boiled water extract of mature leaves of mangrove Sonneratia alba )","type":"article-journal","volume":"11"},"suppress-author":1,"uris":["http://www.mendeley.com/documents/?uuid=846163f8-853c-48e0-a245-7535a37870ee"]}],"mendeley":{"formattedCitation":"(2020)","plainTextFormattedCitation":"(2020)","previouslyFormattedCitation":"(2020)"},"properties":{"noteIndex":0},"schema":"https://github.com/citation-style-language/schema/raw/master/csl-citation.json"}</w:instrText>
      </w:r>
      <w:r w:rsidRPr="00422B98">
        <w:rPr>
          <w:color w:val="000000"/>
          <w:sz w:val="22"/>
          <w:szCs w:val="22"/>
        </w:rPr>
        <w:fldChar w:fldCharType="separate"/>
      </w:r>
      <w:r w:rsidRPr="00422B98">
        <w:rPr>
          <w:noProof/>
          <w:color w:val="000000"/>
          <w:sz w:val="22"/>
          <w:szCs w:val="22"/>
        </w:rPr>
        <w:t>(2020)</w:t>
      </w:r>
      <w:r w:rsidRPr="00422B98">
        <w:rPr>
          <w:color w:val="000000"/>
          <w:sz w:val="22"/>
          <w:szCs w:val="22"/>
        </w:rPr>
        <w:fldChar w:fldCharType="end"/>
      </w:r>
      <w:r w:rsidRPr="00422B98">
        <w:rPr>
          <w:color w:val="000000"/>
          <w:sz w:val="22"/>
          <w:szCs w:val="22"/>
        </w:rPr>
        <w:t>, extraction yields greater than 10% indicate efficient recovery of phytochemical constituents from plant materials. The high yield obtained in this study is likely due to ethanol's polarity, which enables the efficient extraction of phenolic compounds, flavonoids, tannins, alkaloids, and other polar secondary metabolites.</w:t>
      </w:r>
    </w:p>
    <w:p w14:paraId="77DC83F5"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 xml:space="preserve">Qualitative phytochemical screening (Table 1) demonstrated the presence of several important secondary metabolites in the tamarind leaf extract, including alkaloids, flavonoids, tannins, and steroids. Positive alkaloid reactions were observed in the </w:t>
      </w:r>
      <w:proofErr w:type="spellStart"/>
      <w:r w:rsidRPr="00422B98">
        <w:rPr>
          <w:color w:val="000000"/>
          <w:sz w:val="22"/>
          <w:szCs w:val="22"/>
        </w:rPr>
        <w:t>Dragendorff</w:t>
      </w:r>
      <w:proofErr w:type="spellEnd"/>
      <w:r w:rsidRPr="00422B98">
        <w:rPr>
          <w:color w:val="000000"/>
          <w:sz w:val="22"/>
          <w:szCs w:val="22"/>
        </w:rPr>
        <w:t xml:space="preserve"> test, resulting in an orange precipitate. Flavonoid compounds were identified based on brown and dark brown coloration after reaction with NaOH and concentrated H</w:t>
      </w:r>
      <w:r w:rsidRPr="00422B98">
        <w:rPr>
          <w:color w:val="000000"/>
          <w:sz w:val="22"/>
          <w:szCs w:val="22"/>
          <w:vertAlign w:val="subscript"/>
        </w:rPr>
        <w:t>2</w:t>
      </w:r>
      <w:r w:rsidRPr="00422B98">
        <w:rPr>
          <w:color w:val="000000"/>
          <w:sz w:val="22"/>
          <w:szCs w:val="22"/>
        </w:rPr>
        <w:t>SO</w:t>
      </w:r>
      <w:r w:rsidRPr="00422B98">
        <w:rPr>
          <w:color w:val="000000"/>
          <w:sz w:val="22"/>
          <w:szCs w:val="22"/>
          <w:vertAlign w:val="subscript"/>
        </w:rPr>
        <w:t>4</w:t>
      </w:r>
      <w:r w:rsidRPr="00422B98">
        <w:rPr>
          <w:color w:val="000000"/>
          <w:sz w:val="22"/>
          <w:szCs w:val="22"/>
        </w:rPr>
        <w:t>, respectively. Tannins were indicated by greenish-brown coloration following FeCl</w:t>
      </w:r>
      <w:r w:rsidRPr="00422B98">
        <w:rPr>
          <w:color w:val="000000"/>
          <w:sz w:val="22"/>
          <w:szCs w:val="22"/>
          <w:vertAlign w:val="subscript"/>
        </w:rPr>
        <w:t>3</w:t>
      </w:r>
      <w:r w:rsidRPr="00422B98">
        <w:rPr>
          <w:color w:val="000000"/>
          <w:sz w:val="22"/>
          <w:szCs w:val="22"/>
        </w:rPr>
        <w:t xml:space="preserve"> addition, while steroids were identified through blue-green coloration in the Liebermann–Burchard reaction. In contrast, terpenoid compounds were not detected in the extract.</w:t>
      </w:r>
    </w:p>
    <w:p w14:paraId="074DDB35"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1F996A0C"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3E7A267E"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61BF3B9F"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005F3914" w14:textId="77777777" w:rsidR="00422B98" w:rsidRPr="00422B98" w:rsidRDefault="00422B98" w:rsidP="00422B98">
      <w:pPr>
        <w:jc w:val="center"/>
        <w:rPr>
          <w:sz w:val="18"/>
          <w:szCs w:val="18"/>
        </w:rPr>
      </w:pPr>
      <w:r w:rsidRPr="00422B98">
        <w:rPr>
          <w:b/>
          <w:bCs/>
          <w:sz w:val="18"/>
          <w:szCs w:val="18"/>
        </w:rPr>
        <w:t xml:space="preserve">Table 1. </w:t>
      </w:r>
      <w:r w:rsidRPr="00422B98">
        <w:rPr>
          <w:sz w:val="18"/>
          <w:szCs w:val="18"/>
        </w:rPr>
        <w:t>Phytochemical Screening Result of Tamarind Leaf Ethanol Extract (</w:t>
      </w:r>
      <w:r w:rsidRPr="00422B98">
        <w:rPr>
          <w:i/>
          <w:iCs/>
          <w:sz w:val="18"/>
          <w:szCs w:val="18"/>
        </w:rPr>
        <w:t xml:space="preserve">Tamarindus indica </w:t>
      </w:r>
      <w:r w:rsidRPr="00422B98">
        <w:rPr>
          <w:sz w:val="18"/>
          <w:szCs w:val="18"/>
        </w:rPr>
        <w:t>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2"/>
        <w:gridCol w:w="1816"/>
        <w:gridCol w:w="1551"/>
        <w:gridCol w:w="1116"/>
      </w:tblGrid>
      <w:tr w:rsidR="00422B98" w:rsidRPr="00422B98" w14:paraId="45B14308" w14:textId="77777777" w:rsidTr="00407C87">
        <w:trPr>
          <w:trHeight w:val="341"/>
          <w:jc w:val="center"/>
        </w:trPr>
        <w:tc>
          <w:tcPr>
            <w:tcW w:w="0" w:type="auto"/>
            <w:tcBorders>
              <w:top w:val="single" w:sz="4" w:space="0" w:color="auto"/>
              <w:bottom w:val="single" w:sz="4" w:space="0" w:color="auto"/>
            </w:tcBorders>
            <w:vAlign w:val="center"/>
          </w:tcPr>
          <w:p w14:paraId="601D6079" w14:textId="77777777" w:rsidR="00422B98" w:rsidRPr="00422B98" w:rsidRDefault="00422B98" w:rsidP="00407C87">
            <w:pPr>
              <w:contextualSpacing/>
              <w:jc w:val="center"/>
              <w:rPr>
                <w:b/>
                <w:bCs/>
                <w:sz w:val="18"/>
                <w:szCs w:val="18"/>
              </w:rPr>
            </w:pPr>
            <w:r w:rsidRPr="00422B98">
              <w:rPr>
                <w:b/>
                <w:bCs/>
                <w:sz w:val="18"/>
                <w:szCs w:val="18"/>
              </w:rPr>
              <w:t>Compound Group</w:t>
            </w:r>
          </w:p>
        </w:tc>
        <w:tc>
          <w:tcPr>
            <w:tcW w:w="0" w:type="auto"/>
            <w:tcBorders>
              <w:top w:val="single" w:sz="4" w:space="0" w:color="auto"/>
              <w:bottom w:val="single" w:sz="4" w:space="0" w:color="auto"/>
            </w:tcBorders>
            <w:vAlign w:val="center"/>
          </w:tcPr>
          <w:p w14:paraId="620AE23D" w14:textId="77777777" w:rsidR="00422B98" w:rsidRPr="00422B98" w:rsidRDefault="00422B98" w:rsidP="00407C87">
            <w:pPr>
              <w:contextualSpacing/>
              <w:jc w:val="center"/>
              <w:rPr>
                <w:b/>
                <w:bCs/>
                <w:sz w:val="18"/>
                <w:szCs w:val="18"/>
              </w:rPr>
            </w:pPr>
            <w:r w:rsidRPr="00422B98">
              <w:rPr>
                <w:b/>
                <w:bCs/>
                <w:sz w:val="18"/>
                <w:szCs w:val="18"/>
              </w:rPr>
              <w:t>Reagent</w:t>
            </w:r>
          </w:p>
        </w:tc>
        <w:tc>
          <w:tcPr>
            <w:tcW w:w="0" w:type="auto"/>
            <w:tcBorders>
              <w:top w:val="single" w:sz="4" w:space="0" w:color="auto"/>
              <w:bottom w:val="single" w:sz="4" w:space="0" w:color="auto"/>
            </w:tcBorders>
            <w:vAlign w:val="center"/>
          </w:tcPr>
          <w:p w14:paraId="5696360B" w14:textId="77777777" w:rsidR="00422B98" w:rsidRPr="00422B98" w:rsidRDefault="00422B98" w:rsidP="00407C87">
            <w:pPr>
              <w:contextualSpacing/>
              <w:jc w:val="center"/>
              <w:rPr>
                <w:b/>
                <w:bCs/>
                <w:sz w:val="18"/>
                <w:szCs w:val="18"/>
              </w:rPr>
            </w:pPr>
            <w:proofErr w:type="spellStart"/>
            <w:r w:rsidRPr="00422B98">
              <w:rPr>
                <w:b/>
                <w:bCs/>
                <w:sz w:val="18"/>
                <w:szCs w:val="18"/>
              </w:rPr>
              <w:t>Obsrvation</w:t>
            </w:r>
            <w:proofErr w:type="spellEnd"/>
          </w:p>
        </w:tc>
        <w:tc>
          <w:tcPr>
            <w:tcW w:w="682" w:type="dxa"/>
            <w:tcBorders>
              <w:top w:val="single" w:sz="4" w:space="0" w:color="auto"/>
              <w:bottom w:val="single" w:sz="4" w:space="0" w:color="auto"/>
            </w:tcBorders>
            <w:vAlign w:val="center"/>
          </w:tcPr>
          <w:p w14:paraId="5BA435D0" w14:textId="77777777" w:rsidR="00422B98" w:rsidRPr="00422B98" w:rsidRDefault="00422B98" w:rsidP="00407C87">
            <w:pPr>
              <w:contextualSpacing/>
              <w:jc w:val="center"/>
              <w:rPr>
                <w:b/>
                <w:bCs/>
                <w:sz w:val="18"/>
                <w:szCs w:val="18"/>
              </w:rPr>
            </w:pPr>
            <w:r w:rsidRPr="00422B98">
              <w:rPr>
                <w:b/>
                <w:bCs/>
                <w:sz w:val="18"/>
                <w:szCs w:val="18"/>
              </w:rPr>
              <w:t>Note/Result</w:t>
            </w:r>
          </w:p>
        </w:tc>
      </w:tr>
      <w:tr w:rsidR="00422B98" w:rsidRPr="00422B98" w14:paraId="593603B8" w14:textId="77777777" w:rsidTr="00407C87">
        <w:trPr>
          <w:trHeight w:val="262"/>
          <w:jc w:val="center"/>
        </w:trPr>
        <w:tc>
          <w:tcPr>
            <w:tcW w:w="0" w:type="auto"/>
            <w:vMerge w:val="restart"/>
            <w:tcBorders>
              <w:top w:val="single" w:sz="4" w:space="0" w:color="auto"/>
            </w:tcBorders>
            <w:vAlign w:val="center"/>
          </w:tcPr>
          <w:p w14:paraId="3C6554E9" w14:textId="77777777" w:rsidR="00422B98" w:rsidRPr="00422B98" w:rsidRDefault="00422B98" w:rsidP="00407C87">
            <w:pPr>
              <w:contextualSpacing/>
              <w:jc w:val="center"/>
              <w:rPr>
                <w:sz w:val="18"/>
                <w:szCs w:val="18"/>
              </w:rPr>
            </w:pPr>
            <w:r w:rsidRPr="00422B98">
              <w:rPr>
                <w:sz w:val="18"/>
                <w:szCs w:val="18"/>
              </w:rPr>
              <w:t>Alkaloids</w:t>
            </w:r>
          </w:p>
        </w:tc>
        <w:tc>
          <w:tcPr>
            <w:tcW w:w="0" w:type="auto"/>
            <w:tcBorders>
              <w:top w:val="single" w:sz="4" w:space="0" w:color="auto"/>
            </w:tcBorders>
            <w:vAlign w:val="center"/>
          </w:tcPr>
          <w:p w14:paraId="167741AB" w14:textId="77777777" w:rsidR="00422B98" w:rsidRPr="00422B98" w:rsidRDefault="00422B98" w:rsidP="00407C87">
            <w:pPr>
              <w:contextualSpacing/>
              <w:jc w:val="center"/>
              <w:rPr>
                <w:sz w:val="18"/>
                <w:szCs w:val="18"/>
              </w:rPr>
            </w:pPr>
            <w:r w:rsidRPr="00422B98">
              <w:rPr>
                <w:sz w:val="18"/>
                <w:szCs w:val="18"/>
              </w:rPr>
              <w:t>Mayer</w:t>
            </w:r>
          </w:p>
        </w:tc>
        <w:tc>
          <w:tcPr>
            <w:tcW w:w="0" w:type="auto"/>
            <w:tcBorders>
              <w:top w:val="single" w:sz="4" w:space="0" w:color="auto"/>
            </w:tcBorders>
            <w:vAlign w:val="center"/>
          </w:tcPr>
          <w:p w14:paraId="781EFA7C" w14:textId="77777777" w:rsidR="00422B98" w:rsidRPr="00422B98" w:rsidRDefault="00422B98" w:rsidP="00407C87">
            <w:pPr>
              <w:contextualSpacing/>
              <w:jc w:val="center"/>
              <w:rPr>
                <w:sz w:val="18"/>
                <w:szCs w:val="18"/>
              </w:rPr>
            </w:pPr>
            <w:r w:rsidRPr="00422B98">
              <w:rPr>
                <w:sz w:val="18"/>
                <w:szCs w:val="18"/>
              </w:rPr>
              <w:t>Brown precipitate</w:t>
            </w:r>
          </w:p>
        </w:tc>
        <w:tc>
          <w:tcPr>
            <w:tcW w:w="682" w:type="dxa"/>
            <w:tcBorders>
              <w:top w:val="single" w:sz="4" w:space="0" w:color="auto"/>
            </w:tcBorders>
            <w:vAlign w:val="center"/>
          </w:tcPr>
          <w:p w14:paraId="577C5E2F" w14:textId="77777777" w:rsidR="00422B98" w:rsidRPr="00422B98" w:rsidRDefault="00422B98" w:rsidP="00407C87">
            <w:pPr>
              <w:contextualSpacing/>
              <w:jc w:val="center"/>
              <w:rPr>
                <w:sz w:val="18"/>
                <w:szCs w:val="18"/>
              </w:rPr>
            </w:pPr>
            <w:proofErr w:type="spellStart"/>
            <w:r w:rsidRPr="00422B98">
              <w:rPr>
                <w:sz w:val="18"/>
                <w:szCs w:val="18"/>
              </w:rPr>
              <w:t>Negatif</w:t>
            </w:r>
            <w:proofErr w:type="spellEnd"/>
            <w:r w:rsidRPr="00422B98">
              <w:rPr>
                <w:sz w:val="18"/>
                <w:szCs w:val="18"/>
              </w:rPr>
              <w:t xml:space="preserve"> (-)</w:t>
            </w:r>
          </w:p>
        </w:tc>
      </w:tr>
      <w:tr w:rsidR="00422B98" w:rsidRPr="00422B98" w14:paraId="531AD09E" w14:textId="77777777" w:rsidTr="00407C87">
        <w:trPr>
          <w:trHeight w:val="290"/>
          <w:jc w:val="center"/>
        </w:trPr>
        <w:tc>
          <w:tcPr>
            <w:tcW w:w="0" w:type="auto"/>
            <w:vMerge/>
            <w:vAlign w:val="center"/>
          </w:tcPr>
          <w:p w14:paraId="08399119" w14:textId="77777777" w:rsidR="00422B98" w:rsidRPr="00422B98" w:rsidRDefault="00422B98" w:rsidP="00407C87">
            <w:pPr>
              <w:contextualSpacing/>
              <w:jc w:val="center"/>
              <w:rPr>
                <w:sz w:val="18"/>
                <w:szCs w:val="18"/>
              </w:rPr>
            </w:pPr>
          </w:p>
        </w:tc>
        <w:tc>
          <w:tcPr>
            <w:tcW w:w="0" w:type="auto"/>
            <w:vAlign w:val="center"/>
          </w:tcPr>
          <w:p w14:paraId="23802B19" w14:textId="77777777" w:rsidR="00422B98" w:rsidRPr="00422B98" w:rsidRDefault="00422B98" w:rsidP="00407C87">
            <w:pPr>
              <w:contextualSpacing/>
              <w:jc w:val="center"/>
              <w:rPr>
                <w:sz w:val="18"/>
                <w:szCs w:val="18"/>
              </w:rPr>
            </w:pPr>
            <w:proofErr w:type="spellStart"/>
            <w:r w:rsidRPr="00422B98">
              <w:rPr>
                <w:sz w:val="18"/>
                <w:szCs w:val="18"/>
              </w:rPr>
              <w:t>Dragendorf</w:t>
            </w:r>
            <w:proofErr w:type="spellEnd"/>
          </w:p>
        </w:tc>
        <w:tc>
          <w:tcPr>
            <w:tcW w:w="0" w:type="auto"/>
            <w:vAlign w:val="center"/>
          </w:tcPr>
          <w:p w14:paraId="07022EB5" w14:textId="77777777" w:rsidR="00422B98" w:rsidRPr="00422B98" w:rsidRDefault="00422B98" w:rsidP="00407C87">
            <w:pPr>
              <w:contextualSpacing/>
              <w:jc w:val="center"/>
              <w:rPr>
                <w:sz w:val="18"/>
                <w:szCs w:val="18"/>
              </w:rPr>
            </w:pPr>
            <w:r w:rsidRPr="00422B98">
              <w:rPr>
                <w:sz w:val="18"/>
                <w:szCs w:val="18"/>
              </w:rPr>
              <w:t>Orange precipitate</w:t>
            </w:r>
          </w:p>
        </w:tc>
        <w:tc>
          <w:tcPr>
            <w:tcW w:w="682" w:type="dxa"/>
            <w:vAlign w:val="center"/>
          </w:tcPr>
          <w:p w14:paraId="79C69A4F" w14:textId="77777777" w:rsidR="00422B98" w:rsidRPr="00422B98" w:rsidRDefault="00422B98" w:rsidP="00407C87">
            <w:pPr>
              <w:contextualSpacing/>
              <w:jc w:val="center"/>
              <w:rPr>
                <w:sz w:val="18"/>
                <w:szCs w:val="18"/>
              </w:rPr>
            </w:pPr>
            <w:r w:rsidRPr="00422B98">
              <w:rPr>
                <w:sz w:val="18"/>
                <w:szCs w:val="18"/>
              </w:rPr>
              <w:t>Positive (+)</w:t>
            </w:r>
          </w:p>
        </w:tc>
      </w:tr>
      <w:tr w:rsidR="00422B98" w:rsidRPr="00422B98" w14:paraId="5B1A30F6" w14:textId="77777777" w:rsidTr="00407C87">
        <w:trPr>
          <w:trHeight w:val="279"/>
          <w:jc w:val="center"/>
        </w:trPr>
        <w:tc>
          <w:tcPr>
            <w:tcW w:w="0" w:type="auto"/>
            <w:vMerge w:val="restart"/>
            <w:vAlign w:val="center"/>
          </w:tcPr>
          <w:p w14:paraId="46C22A6B" w14:textId="77777777" w:rsidR="00422B98" w:rsidRPr="00422B98" w:rsidRDefault="00422B98" w:rsidP="00407C87">
            <w:pPr>
              <w:contextualSpacing/>
              <w:jc w:val="center"/>
              <w:rPr>
                <w:sz w:val="18"/>
                <w:szCs w:val="18"/>
              </w:rPr>
            </w:pPr>
            <w:r w:rsidRPr="00422B98">
              <w:rPr>
                <w:sz w:val="18"/>
                <w:szCs w:val="18"/>
              </w:rPr>
              <w:t>Flavonoids</w:t>
            </w:r>
          </w:p>
        </w:tc>
        <w:tc>
          <w:tcPr>
            <w:tcW w:w="0" w:type="auto"/>
            <w:vAlign w:val="center"/>
          </w:tcPr>
          <w:p w14:paraId="21E22FBA" w14:textId="77777777" w:rsidR="00422B98" w:rsidRPr="00422B98" w:rsidRDefault="00422B98" w:rsidP="00407C87">
            <w:pPr>
              <w:contextualSpacing/>
              <w:jc w:val="center"/>
              <w:rPr>
                <w:sz w:val="18"/>
                <w:szCs w:val="18"/>
              </w:rPr>
            </w:pPr>
            <w:r w:rsidRPr="00422B98">
              <w:rPr>
                <w:sz w:val="18"/>
                <w:szCs w:val="18"/>
              </w:rPr>
              <w:t>NaOH 10%</w:t>
            </w:r>
          </w:p>
        </w:tc>
        <w:tc>
          <w:tcPr>
            <w:tcW w:w="0" w:type="auto"/>
            <w:vAlign w:val="center"/>
          </w:tcPr>
          <w:p w14:paraId="7D4DB8C6" w14:textId="77777777" w:rsidR="00422B98" w:rsidRPr="00422B98" w:rsidRDefault="00422B98" w:rsidP="00407C87">
            <w:pPr>
              <w:contextualSpacing/>
              <w:jc w:val="center"/>
              <w:rPr>
                <w:sz w:val="18"/>
                <w:szCs w:val="18"/>
              </w:rPr>
            </w:pPr>
            <w:r w:rsidRPr="00422B98">
              <w:rPr>
                <w:sz w:val="18"/>
                <w:szCs w:val="18"/>
              </w:rPr>
              <w:t>Brown</w:t>
            </w:r>
          </w:p>
        </w:tc>
        <w:tc>
          <w:tcPr>
            <w:tcW w:w="682" w:type="dxa"/>
            <w:vAlign w:val="center"/>
          </w:tcPr>
          <w:p w14:paraId="29B68BB4" w14:textId="77777777" w:rsidR="00422B98" w:rsidRPr="00422B98" w:rsidRDefault="00422B98" w:rsidP="00407C87">
            <w:pPr>
              <w:contextualSpacing/>
              <w:jc w:val="center"/>
              <w:rPr>
                <w:sz w:val="18"/>
                <w:szCs w:val="18"/>
              </w:rPr>
            </w:pPr>
            <w:r w:rsidRPr="00422B98">
              <w:rPr>
                <w:sz w:val="18"/>
                <w:szCs w:val="18"/>
              </w:rPr>
              <w:t>Positive (+)</w:t>
            </w:r>
          </w:p>
        </w:tc>
      </w:tr>
      <w:tr w:rsidR="00422B98" w:rsidRPr="00422B98" w14:paraId="38DEC9CD" w14:textId="77777777" w:rsidTr="00407C87">
        <w:trPr>
          <w:trHeight w:val="284"/>
          <w:jc w:val="center"/>
        </w:trPr>
        <w:tc>
          <w:tcPr>
            <w:tcW w:w="0" w:type="auto"/>
            <w:vMerge/>
            <w:vAlign w:val="center"/>
          </w:tcPr>
          <w:p w14:paraId="16D52C87" w14:textId="77777777" w:rsidR="00422B98" w:rsidRPr="00422B98" w:rsidRDefault="00422B98" w:rsidP="00407C87">
            <w:pPr>
              <w:contextualSpacing/>
              <w:jc w:val="center"/>
              <w:rPr>
                <w:sz w:val="18"/>
                <w:szCs w:val="18"/>
              </w:rPr>
            </w:pPr>
          </w:p>
        </w:tc>
        <w:tc>
          <w:tcPr>
            <w:tcW w:w="0" w:type="auto"/>
            <w:vAlign w:val="center"/>
          </w:tcPr>
          <w:p w14:paraId="0B1A04BF" w14:textId="77777777" w:rsidR="00422B98" w:rsidRPr="00422B98" w:rsidRDefault="00422B98" w:rsidP="00407C87">
            <w:pPr>
              <w:contextualSpacing/>
              <w:jc w:val="center"/>
              <w:rPr>
                <w:sz w:val="18"/>
                <w:szCs w:val="18"/>
              </w:rPr>
            </w:pPr>
            <w:r w:rsidRPr="00422B98">
              <w:rPr>
                <w:sz w:val="18"/>
                <w:szCs w:val="18"/>
              </w:rPr>
              <w:t>Concentrated</w:t>
            </w:r>
          </w:p>
          <w:p w14:paraId="0034D4BA" w14:textId="77777777" w:rsidR="00422B98" w:rsidRPr="00422B98" w:rsidRDefault="00422B98" w:rsidP="00407C87">
            <w:pPr>
              <w:contextualSpacing/>
              <w:jc w:val="center"/>
              <w:rPr>
                <w:sz w:val="18"/>
                <w:szCs w:val="18"/>
              </w:rPr>
            </w:pPr>
            <w:r w:rsidRPr="00422B98">
              <w:rPr>
                <w:sz w:val="18"/>
                <w:szCs w:val="18"/>
              </w:rPr>
              <w:t>H</w:t>
            </w:r>
            <w:r w:rsidRPr="00422B98">
              <w:rPr>
                <w:sz w:val="18"/>
                <w:szCs w:val="18"/>
                <w:vertAlign w:val="subscript"/>
              </w:rPr>
              <w:t>2</w:t>
            </w:r>
            <w:r w:rsidRPr="00422B98">
              <w:rPr>
                <w:sz w:val="18"/>
                <w:szCs w:val="18"/>
              </w:rPr>
              <w:t>SO</w:t>
            </w:r>
            <w:r w:rsidRPr="00422B98">
              <w:rPr>
                <w:sz w:val="18"/>
                <w:szCs w:val="18"/>
                <w:vertAlign w:val="subscript"/>
              </w:rPr>
              <w:t>4</w:t>
            </w:r>
          </w:p>
        </w:tc>
        <w:tc>
          <w:tcPr>
            <w:tcW w:w="0" w:type="auto"/>
            <w:vAlign w:val="center"/>
          </w:tcPr>
          <w:p w14:paraId="05D1A609" w14:textId="77777777" w:rsidR="00422B98" w:rsidRPr="00422B98" w:rsidRDefault="00422B98" w:rsidP="00407C87">
            <w:pPr>
              <w:contextualSpacing/>
              <w:jc w:val="center"/>
              <w:rPr>
                <w:sz w:val="18"/>
                <w:szCs w:val="18"/>
              </w:rPr>
            </w:pPr>
            <w:r w:rsidRPr="00422B98">
              <w:rPr>
                <w:sz w:val="18"/>
                <w:szCs w:val="18"/>
              </w:rPr>
              <w:t>Blackish-brown</w:t>
            </w:r>
          </w:p>
        </w:tc>
        <w:tc>
          <w:tcPr>
            <w:tcW w:w="682" w:type="dxa"/>
            <w:vAlign w:val="center"/>
          </w:tcPr>
          <w:p w14:paraId="56DB5F2B" w14:textId="77777777" w:rsidR="00422B98" w:rsidRPr="00422B98" w:rsidRDefault="00422B98" w:rsidP="00407C87">
            <w:pPr>
              <w:contextualSpacing/>
              <w:jc w:val="center"/>
              <w:rPr>
                <w:sz w:val="18"/>
                <w:szCs w:val="18"/>
              </w:rPr>
            </w:pPr>
            <w:r w:rsidRPr="00422B98">
              <w:rPr>
                <w:sz w:val="18"/>
                <w:szCs w:val="18"/>
              </w:rPr>
              <w:t>Positive (+)</w:t>
            </w:r>
          </w:p>
        </w:tc>
      </w:tr>
      <w:tr w:rsidR="00422B98" w:rsidRPr="00422B98" w14:paraId="3A02BDBA" w14:textId="77777777" w:rsidTr="00407C87">
        <w:trPr>
          <w:trHeight w:val="288"/>
          <w:jc w:val="center"/>
        </w:trPr>
        <w:tc>
          <w:tcPr>
            <w:tcW w:w="0" w:type="auto"/>
            <w:vAlign w:val="center"/>
          </w:tcPr>
          <w:p w14:paraId="55F0949D" w14:textId="77777777" w:rsidR="00422B98" w:rsidRPr="00422B98" w:rsidRDefault="00422B98" w:rsidP="00407C87">
            <w:pPr>
              <w:contextualSpacing/>
              <w:jc w:val="center"/>
              <w:rPr>
                <w:sz w:val="18"/>
                <w:szCs w:val="18"/>
              </w:rPr>
            </w:pPr>
            <w:r w:rsidRPr="00422B98">
              <w:rPr>
                <w:sz w:val="18"/>
                <w:szCs w:val="18"/>
              </w:rPr>
              <w:t>Tannis</w:t>
            </w:r>
          </w:p>
        </w:tc>
        <w:tc>
          <w:tcPr>
            <w:tcW w:w="0" w:type="auto"/>
            <w:vAlign w:val="center"/>
          </w:tcPr>
          <w:p w14:paraId="09822E65" w14:textId="77777777" w:rsidR="00422B98" w:rsidRPr="00422B98" w:rsidRDefault="00422B98" w:rsidP="00407C87">
            <w:pPr>
              <w:contextualSpacing/>
              <w:jc w:val="center"/>
              <w:rPr>
                <w:sz w:val="18"/>
                <w:szCs w:val="18"/>
              </w:rPr>
            </w:pPr>
            <w:r w:rsidRPr="00422B98">
              <w:rPr>
                <w:sz w:val="18"/>
                <w:szCs w:val="18"/>
              </w:rPr>
              <w:t>FeCl</w:t>
            </w:r>
            <w:r w:rsidRPr="00422B98">
              <w:rPr>
                <w:sz w:val="18"/>
                <w:szCs w:val="18"/>
                <w:vertAlign w:val="subscript"/>
              </w:rPr>
              <w:t>3</w:t>
            </w:r>
            <w:r w:rsidRPr="00422B98">
              <w:rPr>
                <w:sz w:val="18"/>
                <w:szCs w:val="18"/>
              </w:rPr>
              <w:t xml:space="preserve"> 1%</w:t>
            </w:r>
          </w:p>
        </w:tc>
        <w:tc>
          <w:tcPr>
            <w:tcW w:w="0" w:type="auto"/>
            <w:vAlign w:val="center"/>
          </w:tcPr>
          <w:p w14:paraId="623A869F" w14:textId="77777777" w:rsidR="00422B98" w:rsidRPr="00422B98" w:rsidRDefault="00422B98" w:rsidP="00407C87">
            <w:pPr>
              <w:contextualSpacing/>
              <w:jc w:val="center"/>
              <w:rPr>
                <w:sz w:val="18"/>
                <w:szCs w:val="18"/>
              </w:rPr>
            </w:pPr>
            <w:r w:rsidRPr="00422B98">
              <w:rPr>
                <w:sz w:val="18"/>
                <w:szCs w:val="18"/>
              </w:rPr>
              <w:t>Greenish-brown</w:t>
            </w:r>
          </w:p>
        </w:tc>
        <w:tc>
          <w:tcPr>
            <w:tcW w:w="682" w:type="dxa"/>
            <w:vAlign w:val="center"/>
          </w:tcPr>
          <w:p w14:paraId="7A4B68DC" w14:textId="77777777" w:rsidR="00422B98" w:rsidRPr="00422B98" w:rsidRDefault="00422B98" w:rsidP="00407C87">
            <w:pPr>
              <w:contextualSpacing/>
              <w:jc w:val="center"/>
              <w:rPr>
                <w:sz w:val="18"/>
                <w:szCs w:val="18"/>
              </w:rPr>
            </w:pPr>
            <w:r w:rsidRPr="00422B98">
              <w:rPr>
                <w:sz w:val="18"/>
                <w:szCs w:val="18"/>
              </w:rPr>
              <w:t>Positive (+)</w:t>
            </w:r>
          </w:p>
        </w:tc>
      </w:tr>
      <w:tr w:rsidR="00422B98" w:rsidRPr="00422B98" w14:paraId="4697CCFE" w14:textId="77777777" w:rsidTr="00407C87">
        <w:trPr>
          <w:trHeight w:val="340"/>
          <w:jc w:val="center"/>
        </w:trPr>
        <w:tc>
          <w:tcPr>
            <w:tcW w:w="0" w:type="auto"/>
            <w:vAlign w:val="center"/>
          </w:tcPr>
          <w:p w14:paraId="16356183" w14:textId="77777777" w:rsidR="00422B98" w:rsidRPr="00422B98" w:rsidRDefault="00422B98" w:rsidP="00407C87">
            <w:pPr>
              <w:contextualSpacing/>
              <w:jc w:val="center"/>
              <w:rPr>
                <w:sz w:val="18"/>
                <w:szCs w:val="18"/>
              </w:rPr>
            </w:pPr>
            <w:r w:rsidRPr="00422B98">
              <w:rPr>
                <w:sz w:val="18"/>
                <w:szCs w:val="18"/>
              </w:rPr>
              <w:t>Steroids</w:t>
            </w:r>
          </w:p>
        </w:tc>
        <w:tc>
          <w:tcPr>
            <w:tcW w:w="0" w:type="auto"/>
            <w:vAlign w:val="center"/>
          </w:tcPr>
          <w:p w14:paraId="18EAA95F" w14:textId="77777777" w:rsidR="00422B98" w:rsidRPr="00422B98" w:rsidRDefault="00422B98" w:rsidP="00407C87">
            <w:pPr>
              <w:contextualSpacing/>
              <w:jc w:val="center"/>
              <w:rPr>
                <w:sz w:val="18"/>
                <w:szCs w:val="18"/>
              </w:rPr>
            </w:pPr>
            <w:r w:rsidRPr="00422B98">
              <w:rPr>
                <w:sz w:val="18"/>
                <w:szCs w:val="18"/>
              </w:rPr>
              <w:t>Liebermann-Burchard</w:t>
            </w:r>
          </w:p>
        </w:tc>
        <w:tc>
          <w:tcPr>
            <w:tcW w:w="0" w:type="auto"/>
            <w:vAlign w:val="center"/>
          </w:tcPr>
          <w:p w14:paraId="7D705FA0" w14:textId="77777777" w:rsidR="00422B98" w:rsidRPr="00422B98" w:rsidRDefault="00422B98" w:rsidP="00407C87">
            <w:pPr>
              <w:contextualSpacing/>
              <w:jc w:val="center"/>
              <w:rPr>
                <w:sz w:val="18"/>
                <w:szCs w:val="18"/>
              </w:rPr>
            </w:pPr>
            <w:r w:rsidRPr="00422B98">
              <w:rPr>
                <w:sz w:val="18"/>
                <w:szCs w:val="18"/>
              </w:rPr>
              <w:t>Greenish-blue</w:t>
            </w:r>
          </w:p>
        </w:tc>
        <w:tc>
          <w:tcPr>
            <w:tcW w:w="682" w:type="dxa"/>
            <w:vAlign w:val="center"/>
          </w:tcPr>
          <w:p w14:paraId="5B116D37" w14:textId="77777777" w:rsidR="00422B98" w:rsidRPr="00422B98" w:rsidRDefault="00422B98" w:rsidP="00407C87">
            <w:pPr>
              <w:contextualSpacing/>
              <w:jc w:val="center"/>
              <w:rPr>
                <w:sz w:val="18"/>
                <w:szCs w:val="18"/>
              </w:rPr>
            </w:pPr>
            <w:r w:rsidRPr="00422B98">
              <w:rPr>
                <w:sz w:val="18"/>
                <w:szCs w:val="18"/>
              </w:rPr>
              <w:t>Positive (+)</w:t>
            </w:r>
          </w:p>
        </w:tc>
      </w:tr>
      <w:tr w:rsidR="00422B98" w:rsidRPr="00422B98" w14:paraId="7493243D" w14:textId="77777777" w:rsidTr="00407C87">
        <w:trPr>
          <w:trHeight w:val="340"/>
          <w:jc w:val="center"/>
        </w:trPr>
        <w:tc>
          <w:tcPr>
            <w:tcW w:w="0" w:type="auto"/>
            <w:tcBorders>
              <w:bottom w:val="single" w:sz="4" w:space="0" w:color="auto"/>
            </w:tcBorders>
            <w:vAlign w:val="center"/>
          </w:tcPr>
          <w:p w14:paraId="48A00956" w14:textId="77777777" w:rsidR="00422B98" w:rsidRPr="00422B98" w:rsidRDefault="00422B98" w:rsidP="00407C87">
            <w:pPr>
              <w:contextualSpacing/>
              <w:jc w:val="center"/>
              <w:rPr>
                <w:sz w:val="18"/>
                <w:szCs w:val="18"/>
              </w:rPr>
            </w:pPr>
            <w:r w:rsidRPr="00422B98">
              <w:rPr>
                <w:sz w:val="18"/>
                <w:szCs w:val="18"/>
              </w:rPr>
              <w:t>Terpenoids</w:t>
            </w:r>
          </w:p>
        </w:tc>
        <w:tc>
          <w:tcPr>
            <w:tcW w:w="0" w:type="auto"/>
            <w:tcBorders>
              <w:bottom w:val="single" w:sz="4" w:space="0" w:color="auto"/>
            </w:tcBorders>
            <w:vAlign w:val="center"/>
          </w:tcPr>
          <w:p w14:paraId="3E92F2A5" w14:textId="77777777" w:rsidR="00422B98" w:rsidRPr="00422B98" w:rsidRDefault="00422B98" w:rsidP="00407C87">
            <w:pPr>
              <w:contextualSpacing/>
              <w:jc w:val="center"/>
              <w:rPr>
                <w:sz w:val="18"/>
                <w:szCs w:val="18"/>
              </w:rPr>
            </w:pPr>
            <w:r w:rsidRPr="00422B98">
              <w:rPr>
                <w:sz w:val="18"/>
                <w:szCs w:val="18"/>
              </w:rPr>
              <w:t>Liebermann-Burchard</w:t>
            </w:r>
          </w:p>
        </w:tc>
        <w:tc>
          <w:tcPr>
            <w:tcW w:w="0" w:type="auto"/>
            <w:tcBorders>
              <w:bottom w:val="single" w:sz="4" w:space="0" w:color="auto"/>
            </w:tcBorders>
            <w:vAlign w:val="center"/>
          </w:tcPr>
          <w:p w14:paraId="26738BF2" w14:textId="77777777" w:rsidR="00422B98" w:rsidRPr="00422B98" w:rsidRDefault="00422B98" w:rsidP="00407C87">
            <w:pPr>
              <w:contextualSpacing/>
              <w:jc w:val="center"/>
              <w:rPr>
                <w:sz w:val="18"/>
                <w:szCs w:val="18"/>
              </w:rPr>
            </w:pPr>
            <w:r w:rsidRPr="00422B98">
              <w:rPr>
                <w:sz w:val="18"/>
                <w:szCs w:val="18"/>
              </w:rPr>
              <w:t>Greenish-blue</w:t>
            </w:r>
          </w:p>
        </w:tc>
        <w:tc>
          <w:tcPr>
            <w:tcW w:w="682" w:type="dxa"/>
            <w:tcBorders>
              <w:bottom w:val="single" w:sz="4" w:space="0" w:color="auto"/>
            </w:tcBorders>
            <w:vAlign w:val="center"/>
          </w:tcPr>
          <w:p w14:paraId="39CC7AE3" w14:textId="77777777" w:rsidR="00422B98" w:rsidRPr="00422B98" w:rsidRDefault="00422B98" w:rsidP="00407C87">
            <w:pPr>
              <w:contextualSpacing/>
              <w:jc w:val="center"/>
              <w:rPr>
                <w:sz w:val="18"/>
                <w:szCs w:val="18"/>
              </w:rPr>
            </w:pPr>
            <w:proofErr w:type="spellStart"/>
            <w:r w:rsidRPr="00422B98">
              <w:rPr>
                <w:sz w:val="18"/>
                <w:szCs w:val="18"/>
              </w:rPr>
              <w:t>Negatif</w:t>
            </w:r>
            <w:proofErr w:type="spellEnd"/>
            <w:r w:rsidRPr="00422B98">
              <w:rPr>
                <w:sz w:val="18"/>
                <w:szCs w:val="18"/>
              </w:rPr>
              <w:t xml:space="preserve"> (-)</w:t>
            </w:r>
          </w:p>
        </w:tc>
      </w:tr>
    </w:tbl>
    <w:p w14:paraId="4BE226D4"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3DF877CB"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 xml:space="preserve">The presence of flavonoids and phenolic compounds strongly supports the antioxidant potential of tamarind leaf extract. Previous studies reported that flavonoids act as effective hydrogen donors capable of stabilizing free radicals through resonance mechanisms </w:t>
      </w:r>
      <w:r w:rsidRPr="00422B98">
        <w:rPr>
          <w:color w:val="000000"/>
          <w:sz w:val="22"/>
          <w:szCs w:val="22"/>
        </w:rPr>
        <w:fldChar w:fldCharType="begin" w:fldLock="1"/>
      </w:r>
      <w:r w:rsidRPr="00422B98">
        <w:rPr>
          <w:color w:val="000000"/>
          <w:sz w:val="22"/>
          <w:szCs w:val="22"/>
        </w:rPr>
        <w:instrText>ADDIN CSL_CITATION {"citationItems":[{"id":"ITEM-1","itemData":{"author":[{"dropping-particle":"","family":"Megawati","given":"","non-dropping-particle":"","parse-names":false,"suffix":""},{"dropping-particle":"","family":"Sukmawati","given":"","non-dropping-particle":"","parse-names":false,"suffix":""},{"dropping-particle":"","family":"Aminah","given":"","non-dropping-particle":"","parse-names":false,"suffix":""}],"id":"ITEM-1","issue":"02","issued":{"date-parts":[["2021"]]},"page":"95-102","title":"Uji Aktivitas Antioksidan Fraksi Etil Asetat Daun Asam Jawa (Tamarindus Indica L) Dengan Metode DPPH(1,1 Diphenyl-2-Picrylhydrazil)","type":"article-journal","volume":"02"},"uris":["http://www.mendeley.com/documents/?uuid=38b3d8d6-f8d0-4f23-bad3-e1b0e66bf97e"]}],"mendeley":{"formattedCitation":"(Megawati et al., 2021)","plainTextFormattedCitation":"(Megawati et al., 2021)","previouslyFormattedCitation":"(Megawati et al., 2021)"},"properties":{"noteIndex":0},"schema":"https://github.com/citation-style-language/schema/raw/master/csl-citation.json"}</w:instrText>
      </w:r>
      <w:r w:rsidRPr="00422B98">
        <w:rPr>
          <w:color w:val="000000"/>
          <w:sz w:val="22"/>
          <w:szCs w:val="22"/>
        </w:rPr>
        <w:fldChar w:fldCharType="separate"/>
      </w:r>
      <w:r w:rsidRPr="00422B98">
        <w:rPr>
          <w:noProof/>
          <w:color w:val="000000"/>
          <w:sz w:val="22"/>
          <w:szCs w:val="22"/>
        </w:rPr>
        <w:t>(Megawati et al., 2021)</w:t>
      </w:r>
      <w:r w:rsidRPr="00422B98">
        <w:rPr>
          <w:color w:val="000000"/>
          <w:sz w:val="22"/>
          <w:szCs w:val="22"/>
        </w:rPr>
        <w:fldChar w:fldCharType="end"/>
      </w:r>
      <w:r w:rsidRPr="00422B98">
        <w:rPr>
          <w:color w:val="000000"/>
          <w:sz w:val="22"/>
          <w:szCs w:val="22"/>
        </w:rPr>
        <w:t xml:space="preserve">. Similarly, </w:t>
      </w:r>
      <w:r w:rsidRPr="00422B98">
        <w:rPr>
          <w:noProof/>
          <w:color w:val="000000"/>
          <w:sz w:val="22"/>
          <w:szCs w:val="22"/>
        </w:rPr>
        <w:t>Buanasari et al.</w:t>
      </w:r>
      <w:r w:rsidRPr="00422B98">
        <w:rPr>
          <w:color w:val="000000"/>
          <w:sz w:val="22"/>
          <w:szCs w:val="22"/>
        </w:rPr>
        <w:t xml:space="preserve"> (2018) and Husain et al. </w:t>
      </w:r>
      <w:r w:rsidRPr="00422B98">
        <w:rPr>
          <w:color w:val="000000"/>
          <w:sz w:val="22"/>
          <w:szCs w:val="22"/>
        </w:rPr>
        <w:fldChar w:fldCharType="begin" w:fldLock="1"/>
      </w:r>
      <w:r w:rsidRPr="00422B98">
        <w:rPr>
          <w:color w:val="000000"/>
          <w:sz w:val="22"/>
          <w:szCs w:val="22"/>
        </w:rPr>
        <w:instrText>ADDIN CSL_CITATION {"citationItems":[{"id":"ITEM-1","itemData":{"author":[{"dropping-particle":"","family":"Husain","given":"Pahmi","non-dropping-particle":"","parse-names":false,"suffix":""},{"dropping-particle":"","family":"Risfianty","given":"Dwi Kartika","non-dropping-particle":"","parse-names":false,"suffix":""},{"dropping-particle":"","family":"Ihwan","given":"Khaerul","non-dropping-particle":"","parse-names":false,"suffix":""},{"dropping-particle":"","family":"Atika","given":"Baiq Naili Dewi","non-dropping-particle":"","parse-names":false,"suffix":""},{"dropping-particle":"","family":"Ihsan, Muhammad SohibulDewi","given":"Irma Risvana","non-dropping-particle":"","parse-names":false,"suffix":""}],"container-title":"Jurnal Inovasi Pendidikan dan Sains","id":"ITEM-1","issue":"2","issued":{"date-parts":[["2022"]]},"page":"78-82","title":"identifikasi kandungan.pdf","type":"article-journal","volume":"3"},"suppress-author":1,"uris":["http://www.mendeley.com/documents/?uuid=644ee5a5-c004-47db-9cad-3a4324fd9af4"]}],"mendeley":{"formattedCitation":"(2022)","plainTextFormattedCitation":"(2022)","previouslyFormattedCitation":"(2022)"},"properties":{"noteIndex":0},"schema":"https://github.com/citation-style-language/schema/raw/master/csl-citation.json"}</w:instrText>
      </w:r>
      <w:r w:rsidRPr="00422B98">
        <w:rPr>
          <w:color w:val="000000"/>
          <w:sz w:val="22"/>
          <w:szCs w:val="22"/>
        </w:rPr>
        <w:fldChar w:fldCharType="separate"/>
      </w:r>
      <w:r w:rsidRPr="00422B98">
        <w:rPr>
          <w:noProof/>
          <w:color w:val="000000"/>
          <w:sz w:val="22"/>
          <w:szCs w:val="22"/>
        </w:rPr>
        <w:t>(2022)</w:t>
      </w:r>
      <w:r w:rsidRPr="00422B98">
        <w:rPr>
          <w:color w:val="000000"/>
          <w:sz w:val="22"/>
          <w:szCs w:val="22"/>
        </w:rPr>
        <w:fldChar w:fldCharType="end"/>
      </w:r>
      <w:r w:rsidRPr="00422B98">
        <w:rPr>
          <w:color w:val="000000"/>
          <w:sz w:val="22"/>
          <w:szCs w:val="22"/>
        </w:rPr>
        <w:t xml:space="preserve"> confirmed that tamarind leaves contain diverse bioactive compounds with antioxidant properties. Therefore, the phytochemical profile obtained in this study supports the suitability of tamarind leaves as a natural antioxidant source for preserving edible oils.</w:t>
      </w:r>
    </w:p>
    <w:p w14:paraId="00188C5A" w14:textId="77777777" w:rsidR="00422B98" w:rsidRPr="00422B98" w:rsidRDefault="00422B98" w:rsidP="00422B98">
      <w:pPr>
        <w:pBdr>
          <w:top w:val="nil"/>
          <w:left w:val="nil"/>
          <w:bottom w:val="nil"/>
          <w:right w:val="nil"/>
          <w:between w:val="nil"/>
        </w:pBdr>
        <w:jc w:val="both"/>
        <w:rPr>
          <w:b/>
          <w:bCs/>
          <w:color w:val="000000"/>
          <w:sz w:val="22"/>
          <w:szCs w:val="22"/>
        </w:rPr>
      </w:pPr>
    </w:p>
    <w:p w14:paraId="48CD17DC" w14:textId="77777777" w:rsidR="00422B98" w:rsidRPr="00422B98" w:rsidRDefault="00422B98" w:rsidP="00422B98">
      <w:pPr>
        <w:pBdr>
          <w:top w:val="nil"/>
          <w:left w:val="nil"/>
          <w:bottom w:val="nil"/>
          <w:right w:val="nil"/>
          <w:between w:val="nil"/>
        </w:pBdr>
        <w:jc w:val="both"/>
        <w:rPr>
          <w:b/>
          <w:bCs/>
          <w:color w:val="000000"/>
          <w:sz w:val="22"/>
          <w:szCs w:val="22"/>
        </w:rPr>
      </w:pPr>
      <w:r w:rsidRPr="00422B98">
        <w:rPr>
          <w:b/>
          <w:bCs/>
          <w:color w:val="000000"/>
          <w:sz w:val="22"/>
          <w:szCs w:val="22"/>
        </w:rPr>
        <w:t>Antioxidant Activity of Tamarind Leaf Ethanol Extract</w:t>
      </w:r>
    </w:p>
    <w:p w14:paraId="7F19317B"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The antioxidant activity of tamarind leaf ethanol extract (Table 2) was evaluated using the DPPH radical scavenging assay. Increasing extract concentration resulted in a corresponding increase in the inhibition percentage, indicating concentration-dependent antioxidant activity. At concentrations of 20, 40, 60, 80, and 100 ppm, the inhibition percentages were 10.437%, 14.099%, 25.149%, 25.810%, and 29.682%, respectively.</w:t>
      </w:r>
    </w:p>
    <w:p w14:paraId="048C2C01"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Linear regression analysis yielded the equation y = 0.351x + 5.9751, with a correlation coefficient (R2) of 0.9167, indicating a strong positive relationship between extract concentration and antioxidant activity. Based on this regression equation, the IC50 value of tamarind leaf ethanol extract was calculated to be 125.42 ppm. According to common antioxidant classification standards, IC</w:t>
      </w:r>
      <w:r w:rsidRPr="00422B98">
        <w:rPr>
          <w:color w:val="000000"/>
          <w:sz w:val="22"/>
          <w:szCs w:val="22"/>
          <w:vertAlign w:val="subscript"/>
        </w:rPr>
        <w:t>50</w:t>
      </w:r>
      <w:r w:rsidRPr="00422B98">
        <w:rPr>
          <w:color w:val="000000"/>
          <w:sz w:val="22"/>
          <w:szCs w:val="22"/>
        </w:rPr>
        <w:t xml:space="preserve"> values of 101–150 ppm indicate moderate antioxidant activity. It should be noted that the calculated IC₅₀ value (125.42 ppm) was obtained by linear extrapolation because the tested concentration range (20–100 ppm) did not achieve 50% inhibition. Consequently, the reported IC₅₀ should be interpreted as an estimated value rather than an experimentally interpolated value. Although this approach provides a preliminary indication of antioxidant activity, extending the concentration range beyond 100 ppm would improve the accuracy and reliability of IC₅₀ determination. Therefore, future studies should include higher extract concentrations (e.g., up to 150 ppm or higher) to obtain an interpolated IC₅₀ value.</w:t>
      </w:r>
    </w:p>
    <w:p w14:paraId="1080E0A2"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Ascorbic acid was used as a reference antioxidant standard and exhibited significantly stronger activity than the tamarind leaf extract. The regression equation for ascorbic acid was y = 6.258x + 45.701, with an R2 value of 0.9945, yielding an IC</w:t>
      </w:r>
      <w:r w:rsidRPr="00422B98">
        <w:rPr>
          <w:color w:val="000000"/>
          <w:sz w:val="22"/>
          <w:szCs w:val="22"/>
          <w:vertAlign w:val="subscript"/>
        </w:rPr>
        <w:t>50</w:t>
      </w:r>
      <w:r w:rsidRPr="00422B98">
        <w:rPr>
          <w:color w:val="000000"/>
          <w:sz w:val="22"/>
          <w:szCs w:val="22"/>
        </w:rPr>
        <w:t xml:space="preserve"> of 0.68 ppm. The substantially lower IC</w:t>
      </w:r>
      <w:r w:rsidRPr="00422B98">
        <w:rPr>
          <w:color w:val="000000"/>
          <w:sz w:val="22"/>
          <w:szCs w:val="22"/>
          <w:vertAlign w:val="subscript"/>
        </w:rPr>
        <w:t>50</w:t>
      </w:r>
      <w:r w:rsidRPr="00422B98">
        <w:rPr>
          <w:color w:val="000000"/>
          <w:sz w:val="22"/>
          <w:szCs w:val="22"/>
        </w:rPr>
        <w:t xml:space="preserve"> value demonstrates ascorbic acid's superior radical-scavenging efficiency compared with the plant extract.</w:t>
      </w:r>
    </w:p>
    <w:p w14:paraId="3B365828" w14:textId="77777777" w:rsidR="00422B98" w:rsidRPr="00422B98" w:rsidRDefault="00422B98" w:rsidP="00422B98">
      <w:pPr>
        <w:pStyle w:val="NormalWeb"/>
        <w:spacing w:before="0" w:beforeAutospacing="0" w:after="0" w:afterAutospacing="0"/>
        <w:ind w:firstLine="720"/>
        <w:jc w:val="both"/>
        <w:rPr>
          <w:color w:val="000000"/>
          <w:sz w:val="22"/>
          <w:szCs w:val="22"/>
        </w:rPr>
      </w:pPr>
      <w:r w:rsidRPr="00422B98">
        <w:rPr>
          <w:color w:val="000000"/>
          <w:sz w:val="22"/>
          <w:szCs w:val="22"/>
        </w:rPr>
        <w:t xml:space="preserve">The antioxidant activity observed in the tamarind leaf extract is likely due to the presence of flavonoids, tannins, and other phenolic compounds. Flavonoids are recognized as important antioxidant agents because they donate hydrogen atoms to neutralize DPPH radicals, forming more stable radical intermediates </w:t>
      </w:r>
      <w:r w:rsidRPr="00422B98">
        <w:rPr>
          <w:color w:val="000000"/>
          <w:sz w:val="22"/>
          <w:szCs w:val="22"/>
        </w:rPr>
        <w:fldChar w:fldCharType="begin" w:fldLock="1"/>
      </w:r>
      <w:r w:rsidRPr="00422B98">
        <w:rPr>
          <w:color w:val="000000"/>
          <w:sz w:val="22"/>
          <w:szCs w:val="22"/>
        </w:rPr>
        <w:instrText>ADDIN CSL_CITATION {"citationItems":[{"id":"ITEM-1","itemData":{"author":[{"dropping-particle":"","family":"Nurhayati","given":"Ghina Siti","non-dropping-particle":"","parse-names":false,"suffix":""},{"dropping-particle":"","family":"Indriatmoko","given":"Dimas Danang","non-dropping-particle":"","parse-names":false,"suffix":""},{"dropping-particle":"","family":"Kristiadi","given":"Erwi Widi","non-dropping-particle":"","parse-names":false,"suffix":""},{"dropping-particle":"","family":"Fitriani","given":"Anisa","non-dropping-particle":"","parse-names":false,"suffix":""}],"id":"ITEM-1","issue":"1","issued":{"date-parts":[["2022"]]},"page":"1-5","title":"Chimica et Natura Acta Antioxidant Activity of Nutmeg Mace ( Myristica fragrans ) Graded Extract","type":"article-journal","volume":"10"},"uris":["http://www.mendeley.com/documents/?uuid=4db4fd6c-f6a0-47be-bea5-50e49d8cd149"]}],"mendeley":{"formattedCitation":"(Nurhayati et al., 2022)","plainTextFormattedCitation":"(Nurhayati et al., 2022)","previouslyFormattedCitation":"(Nurhayati et al., 2022)"},"properties":{"noteIndex":0},"schema":"https://github.com/citation-style-language/schema/raw/master/csl-citation.json"}</w:instrText>
      </w:r>
      <w:r w:rsidRPr="00422B98">
        <w:rPr>
          <w:color w:val="000000"/>
          <w:sz w:val="22"/>
          <w:szCs w:val="22"/>
        </w:rPr>
        <w:fldChar w:fldCharType="separate"/>
      </w:r>
      <w:r w:rsidRPr="00422B98">
        <w:rPr>
          <w:noProof/>
          <w:color w:val="000000"/>
          <w:sz w:val="22"/>
          <w:szCs w:val="22"/>
        </w:rPr>
        <w:t>(Nurhayati et al., 2022)</w:t>
      </w:r>
      <w:r w:rsidRPr="00422B98">
        <w:rPr>
          <w:color w:val="000000"/>
          <w:sz w:val="22"/>
          <w:szCs w:val="22"/>
        </w:rPr>
        <w:fldChar w:fldCharType="end"/>
      </w:r>
      <w:r w:rsidRPr="00422B98">
        <w:rPr>
          <w:color w:val="000000"/>
          <w:sz w:val="22"/>
          <w:szCs w:val="22"/>
        </w:rPr>
        <w:t xml:space="preserve">. Tunny et al </w:t>
      </w:r>
      <w:r w:rsidRPr="00422B98">
        <w:rPr>
          <w:color w:val="000000"/>
          <w:sz w:val="22"/>
          <w:szCs w:val="22"/>
        </w:rPr>
        <w:fldChar w:fldCharType="begin" w:fldLock="1"/>
      </w:r>
      <w:r w:rsidRPr="00422B98">
        <w:rPr>
          <w:color w:val="000000"/>
          <w:sz w:val="22"/>
          <w:szCs w:val="22"/>
        </w:rPr>
        <w:instrText>ADDIN CSL_CITATION {"citationItems":[{"id":"ITEM-1","itemData":{"author":[{"dropping-particle":"","family":"Tunny","given":"Risman T","non-dropping-particle":"","parse-names":false,"suffix":""},{"dropping-particle":"","family":"Mahulauw","given":"M.Azril H","non-dropping-particle":"","parse-names":false,"suffix":""},{"dropping-particle":"","family":"Darmanta","given":"Kemal","non-dropping-particle":"","parse-names":false,"suffix":""}],"id":"ITEM-1","issue":"2","issued":{"date-parts":[["2020"]]},"page":"1-5","title":"Identifikasi Kandungan Senyawa Fitokimia dan Uji Aktivitas Antioksidan Ekstrak Metanol Daun Asam Jawa (","type":"article-journal","volume":"10"},"suppress-author":1,"uris":["http://www.mendeley.com/documents/?uuid=58d3bcb3-b33b-4121-a1cc-de4ddbc1a948"]}],"mendeley":{"formattedCitation":"(2020)","plainTextFormattedCitation":"(2020)","previouslyFormattedCitation":"(2020)"},"properties":{"noteIndex":0},"schema":"https://github.com/citation-style-language/schema/raw/master/csl-citation.json"}</w:instrText>
      </w:r>
      <w:r w:rsidRPr="00422B98">
        <w:rPr>
          <w:color w:val="000000"/>
          <w:sz w:val="22"/>
          <w:szCs w:val="22"/>
        </w:rPr>
        <w:fldChar w:fldCharType="separate"/>
      </w:r>
      <w:r w:rsidRPr="00422B98">
        <w:rPr>
          <w:noProof/>
          <w:color w:val="000000"/>
          <w:sz w:val="22"/>
          <w:szCs w:val="22"/>
        </w:rPr>
        <w:t>(2020)</w:t>
      </w:r>
      <w:r w:rsidRPr="00422B98">
        <w:rPr>
          <w:color w:val="000000"/>
          <w:sz w:val="22"/>
          <w:szCs w:val="22"/>
        </w:rPr>
        <w:fldChar w:fldCharType="end"/>
      </w:r>
      <w:r w:rsidRPr="00422B98">
        <w:rPr>
          <w:color w:val="000000"/>
          <w:sz w:val="22"/>
          <w:szCs w:val="22"/>
        </w:rPr>
        <w:t xml:space="preserve"> previously reported an IC</w:t>
      </w:r>
      <w:r w:rsidRPr="00422B98">
        <w:rPr>
          <w:color w:val="000000"/>
          <w:sz w:val="22"/>
          <w:szCs w:val="22"/>
          <w:vertAlign w:val="subscript"/>
        </w:rPr>
        <w:t>50</w:t>
      </w:r>
      <w:r w:rsidRPr="00422B98">
        <w:rPr>
          <w:color w:val="000000"/>
          <w:sz w:val="22"/>
          <w:szCs w:val="22"/>
        </w:rPr>
        <w:t xml:space="preserve"> value of 143.278 ppm for the tamarind leaf methanol extract, consistent with the moderate antioxidant activity observed in the present study.</w:t>
      </w:r>
    </w:p>
    <w:p w14:paraId="2EE0BDF0" w14:textId="77777777" w:rsidR="00422B98" w:rsidRPr="00422B98" w:rsidRDefault="00422B98" w:rsidP="00422B98">
      <w:pPr>
        <w:pStyle w:val="NormalWeb"/>
        <w:spacing w:before="0" w:beforeAutospacing="0" w:after="0" w:afterAutospacing="0"/>
        <w:ind w:firstLine="720"/>
        <w:jc w:val="both"/>
        <w:rPr>
          <w:color w:val="000000"/>
          <w:sz w:val="22"/>
          <w:szCs w:val="22"/>
        </w:rPr>
      </w:pPr>
      <w:r w:rsidRPr="00422B98">
        <w:rPr>
          <w:color w:val="000000"/>
          <w:sz w:val="22"/>
          <w:szCs w:val="22"/>
        </w:rPr>
        <w:t>Although the DPPH assay classified the extract as having moderate antioxidant activity, this does not necessarily limit its practical effectiveness in lipid-based food systems such as coconut oil. The DPPH assay measures radical-scavenging capacity in a homogeneous solution, whereas lipid oxidation in edible oils is influenced by multiple factors, including the partitioning behavior of antioxidants, interactions among phenolic constituents, and the ability of antioxidants to interrupt free-radical chain reactions within the lipid matrix. Consequently, extracts exhibiting only moderate DPPH activity may still provide substantial protection against oxidative deterioration during storage. This interpretation is supported by the present findings, where increasing concentrations of tamarind leaf extract significantly reduced moisture content, peroxide value, and free fatty acid formation while improving the saponification value, indicating enhanced oxidative stability of coconut oil.</w:t>
      </w:r>
    </w:p>
    <w:p w14:paraId="7EE37DFF"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 xml:space="preserve"> Although the antioxidant capacity was lower than that of ascorbic acid, the extract still demonstrated sufficient radical-scavenging activity to inhibit oxidative reactions in coconut oil. These findings support previous studies indicating that plant-derived phenolic compounds may serve as effective alternatives to synthetic antioxidants in edible oil preservation (</w:t>
      </w:r>
      <w:proofErr w:type="spellStart"/>
      <w:r w:rsidRPr="00422B98">
        <w:rPr>
          <w:color w:val="000000"/>
          <w:sz w:val="22"/>
          <w:szCs w:val="22"/>
        </w:rPr>
        <w:t>Megawasti</w:t>
      </w:r>
      <w:proofErr w:type="spellEnd"/>
      <w:r w:rsidRPr="00422B98">
        <w:rPr>
          <w:color w:val="000000"/>
          <w:sz w:val="22"/>
          <w:szCs w:val="22"/>
        </w:rPr>
        <w:t xml:space="preserve"> et al., 2021). </w:t>
      </w:r>
    </w:p>
    <w:p w14:paraId="6A5373A6"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1E88906E" w14:textId="77777777" w:rsidR="00422B98" w:rsidRPr="00422B98" w:rsidRDefault="00422B98" w:rsidP="00422B98">
      <w:pPr>
        <w:ind w:left="-142"/>
        <w:jc w:val="center"/>
        <w:rPr>
          <w:sz w:val="18"/>
          <w:szCs w:val="18"/>
        </w:rPr>
      </w:pPr>
      <w:r w:rsidRPr="00422B98">
        <w:rPr>
          <w:b/>
          <w:bCs/>
          <w:sz w:val="18"/>
          <w:szCs w:val="18"/>
        </w:rPr>
        <w:t>Table 2.</w:t>
      </w:r>
      <w:r w:rsidRPr="00422B98">
        <w:rPr>
          <w:sz w:val="18"/>
          <w:szCs w:val="18"/>
        </w:rPr>
        <w:t xml:space="preserve"> Antioxidant Activity Result of Tamarind Leaf Ethanol Extract (</w:t>
      </w:r>
      <w:r w:rsidRPr="00422B98">
        <w:rPr>
          <w:i/>
          <w:iCs/>
          <w:sz w:val="18"/>
          <w:szCs w:val="18"/>
        </w:rPr>
        <w:t xml:space="preserve">Tamarindus indica </w:t>
      </w:r>
      <w:r w:rsidRPr="00422B98">
        <w:rPr>
          <w:sz w:val="18"/>
          <w:szCs w:val="18"/>
        </w:rPr>
        <w:t>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1326"/>
        <w:gridCol w:w="1137"/>
        <w:gridCol w:w="1464"/>
        <w:gridCol w:w="1095"/>
        <w:gridCol w:w="1417"/>
        <w:gridCol w:w="874"/>
      </w:tblGrid>
      <w:tr w:rsidR="00422B98" w:rsidRPr="00422B98" w14:paraId="5A525D15" w14:textId="77777777" w:rsidTr="00C07A82">
        <w:trPr>
          <w:trHeight w:val="529"/>
        </w:trPr>
        <w:tc>
          <w:tcPr>
            <w:tcW w:w="0" w:type="auto"/>
            <w:tcBorders>
              <w:top w:val="single" w:sz="4" w:space="0" w:color="auto"/>
              <w:bottom w:val="single" w:sz="4" w:space="0" w:color="auto"/>
            </w:tcBorders>
            <w:vAlign w:val="center"/>
          </w:tcPr>
          <w:p w14:paraId="78199FBA" w14:textId="77777777" w:rsidR="00422B98" w:rsidRPr="00422B98" w:rsidRDefault="00422B98" w:rsidP="00407C87">
            <w:pPr>
              <w:jc w:val="center"/>
              <w:rPr>
                <w:b/>
                <w:bCs/>
                <w:sz w:val="18"/>
                <w:szCs w:val="18"/>
              </w:rPr>
            </w:pPr>
            <w:r w:rsidRPr="00422B98">
              <w:rPr>
                <w:b/>
                <w:bCs/>
                <w:sz w:val="18"/>
                <w:szCs w:val="18"/>
              </w:rPr>
              <w:t>Control</w:t>
            </w:r>
          </w:p>
        </w:tc>
        <w:tc>
          <w:tcPr>
            <w:tcW w:w="0" w:type="auto"/>
            <w:tcBorders>
              <w:top w:val="single" w:sz="4" w:space="0" w:color="auto"/>
              <w:bottom w:val="single" w:sz="4" w:space="0" w:color="auto"/>
            </w:tcBorders>
            <w:vAlign w:val="center"/>
          </w:tcPr>
          <w:p w14:paraId="0A11A5A0" w14:textId="77777777" w:rsidR="00422B98" w:rsidRPr="00422B98" w:rsidRDefault="00422B98" w:rsidP="00407C87">
            <w:pPr>
              <w:jc w:val="center"/>
              <w:rPr>
                <w:b/>
                <w:bCs/>
                <w:sz w:val="18"/>
                <w:szCs w:val="18"/>
              </w:rPr>
            </w:pPr>
            <w:r w:rsidRPr="00422B98">
              <w:rPr>
                <w:b/>
                <w:bCs/>
                <w:sz w:val="18"/>
                <w:szCs w:val="18"/>
              </w:rPr>
              <w:t>Concentration</w:t>
            </w:r>
          </w:p>
          <w:p w14:paraId="620B92C3" w14:textId="77777777" w:rsidR="00422B98" w:rsidRPr="00422B98" w:rsidRDefault="00422B98" w:rsidP="00407C87">
            <w:pPr>
              <w:jc w:val="center"/>
              <w:rPr>
                <w:b/>
                <w:bCs/>
                <w:sz w:val="18"/>
                <w:szCs w:val="18"/>
              </w:rPr>
            </w:pPr>
            <w:r w:rsidRPr="00422B98">
              <w:rPr>
                <w:b/>
                <w:bCs/>
                <w:sz w:val="18"/>
                <w:szCs w:val="18"/>
              </w:rPr>
              <w:t>(ppm)</w:t>
            </w:r>
          </w:p>
        </w:tc>
        <w:tc>
          <w:tcPr>
            <w:tcW w:w="0" w:type="auto"/>
            <w:tcBorders>
              <w:top w:val="single" w:sz="4" w:space="0" w:color="auto"/>
              <w:bottom w:val="single" w:sz="4" w:space="0" w:color="auto"/>
            </w:tcBorders>
            <w:vAlign w:val="center"/>
          </w:tcPr>
          <w:p w14:paraId="710A200C" w14:textId="77777777" w:rsidR="00422B98" w:rsidRPr="00422B98" w:rsidRDefault="00422B98" w:rsidP="00407C87">
            <w:pPr>
              <w:jc w:val="center"/>
              <w:rPr>
                <w:b/>
                <w:bCs/>
                <w:sz w:val="18"/>
                <w:szCs w:val="18"/>
              </w:rPr>
            </w:pPr>
            <w:r w:rsidRPr="00422B98">
              <w:rPr>
                <w:b/>
                <w:bCs/>
                <w:sz w:val="18"/>
                <w:szCs w:val="18"/>
              </w:rPr>
              <w:t>Absorbance</w:t>
            </w:r>
          </w:p>
        </w:tc>
        <w:tc>
          <w:tcPr>
            <w:tcW w:w="0" w:type="auto"/>
            <w:tcBorders>
              <w:top w:val="single" w:sz="4" w:space="0" w:color="auto"/>
              <w:bottom w:val="single" w:sz="4" w:space="0" w:color="auto"/>
            </w:tcBorders>
            <w:vAlign w:val="center"/>
          </w:tcPr>
          <w:p w14:paraId="2C7C6B11" w14:textId="77777777" w:rsidR="00422B98" w:rsidRPr="00422B98" w:rsidRDefault="00422B98" w:rsidP="00407C87">
            <w:pPr>
              <w:jc w:val="center"/>
              <w:rPr>
                <w:b/>
                <w:bCs/>
                <w:sz w:val="18"/>
                <w:szCs w:val="18"/>
              </w:rPr>
            </w:pPr>
            <w:r w:rsidRPr="00422B98">
              <w:rPr>
                <w:b/>
                <w:bCs/>
                <w:sz w:val="18"/>
                <w:szCs w:val="18"/>
              </w:rPr>
              <w:t>Average Absorbance</w:t>
            </w:r>
          </w:p>
        </w:tc>
        <w:tc>
          <w:tcPr>
            <w:tcW w:w="0" w:type="auto"/>
            <w:tcBorders>
              <w:top w:val="single" w:sz="4" w:space="0" w:color="auto"/>
              <w:bottom w:val="single" w:sz="4" w:space="0" w:color="auto"/>
            </w:tcBorders>
            <w:vAlign w:val="center"/>
          </w:tcPr>
          <w:p w14:paraId="3C2424A5" w14:textId="77777777" w:rsidR="00422B98" w:rsidRPr="00422B98" w:rsidRDefault="00422B98" w:rsidP="00407C87">
            <w:pPr>
              <w:jc w:val="center"/>
              <w:rPr>
                <w:b/>
                <w:bCs/>
                <w:sz w:val="18"/>
                <w:szCs w:val="18"/>
              </w:rPr>
            </w:pPr>
            <w:r w:rsidRPr="00422B98">
              <w:rPr>
                <w:b/>
                <w:bCs/>
                <w:sz w:val="18"/>
                <w:szCs w:val="18"/>
              </w:rPr>
              <w:t>% Inhibition</w:t>
            </w:r>
          </w:p>
        </w:tc>
        <w:tc>
          <w:tcPr>
            <w:tcW w:w="0" w:type="auto"/>
            <w:tcBorders>
              <w:top w:val="single" w:sz="4" w:space="0" w:color="auto"/>
              <w:bottom w:val="single" w:sz="4" w:space="0" w:color="auto"/>
            </w:tcBorders>
            <w:vAlign w:val="center"/>
          </w:tcPr>
          <w:p w14:paraId="519EB3FE" w14:textId="77777777" w:rsidR="00422B98" w:rsidRPr="00422B98" w:rsidRDefault="00422B98" w:rsidP="00407C87">
            <w:pPr>
              <w:jc w:val="center"/>
              <w:rPr>
                <w:b/>
                <w:bCs/>
                <w:sz w:val="18"/>
                <w:szCs w:val="18"/>
              </w:rPr>
            </w:pPr>
            <w:r w:rsidRPr="00422B98">
              <w:rPr>
                <w:b/>
                <w:bCs/>
                <w:sz w:val="18"/>
                <w:szCs w:val="18"/>
              </w:rPr>
              <w:t>Regression Equation</w:t>
            </w:r>
          </w:p>
        </w:tc>
        <w:tc>
          <w:tcPr>
            <w:tcW w:w="0" w:type="auto"/>
            <w:tcBorders>
              <w:top w:val="single" w:sz="4" w:space="0" w:color="auto"/>
              <w:bottom w:val="single" w:sz="4" w:space="0" w:color="auto"/>
            </w:tcBorders>
            <w:vAlign w:val="center"/>
          </w:tcPr>
          <w:p w14:paraId="506C003F" w14:textId="77777777" w:rsidR="00422B98" w:rsidRPr="00422B98" w:rsidRDefault="00422B98" w:rsidP="00407C87">
            <w:pPr>
              <w:jc w:val="center"/>
              <w:rPr>
                <w:b/>
                <w:bCs/>
                <w:sz w:val="18"/>
                <w:szCs w:val="18"/>
              </w:rPr>
            </w:pPr>
            <w:r w:rsidRPr="00422B98">
              <w:rPr>
                <w:b/>
                <w:bCs/>
                <w:sz w:val="18"/>
                <w:szCs w:val="18"/>
              </w:rPr>
              <w:t>IC</w:t>
            </w:r>
            <w:r w:rsidRPr="00422B98">
              <w:rPr>
                <w:b/>
                <w:bCs/>
                <w:sz w:val="18"/>
                <w:szCs w:val="18"/>
                <w:vertAlign w:val="subscript"/>
              </w:rPr>
              <w:t>50</w:t>
            </w:r>
            <w:r w:rsidRPr="00422B98">
              <w:rPr>
                <w:b/>
                <w:bCs/>
                <w:sz w:val="18"/>
                <w:szCs w:val="18"/>
              </w:rPr>
              <w:t xml:space="preserve"> (ppm)</w:t>
            </w:r>
          </w:p>
        </w:tc>
      </w:tr>
      <w:tr w:rsidR="00422B98" w:rsidRPr="00422B98" w14:paraId="58FB6DC9" w14:textId="77777777" w:rsidTr="00C07A82">
        <w:trPr>
          <w:trHeight w:val="227"/>
        </w:trPr>
        <w:tc>
          <w:tcPr>
            <w:tcW w:w="0" w:type="auto"/>
            <w:vMerge w:val="restart"/>
            <w:tcBorders>
              <w:top w:val="single" w:sz="4" w:space="0" w:color="auto"/>
              <w:bottom w:val="single" w:sz="4" w:space="0" w:color="auto"/>
            </w:tcBorders>
            <w:vAlign w:val="center"/>
          </w:tcPr>
          <w:p w14:paraId="24C9D38F" w14:textId="77777777" w:rsidR="00422B98" w:rsidRPr="00422B98" w:rsidRDefault="00422B98" w:rsidP="00407C87">
            <w:pPr>
              <w:spacing w:line="320" w:lineRule="exact"/>
              <w:jc w:val="center"/>
              <w:rPr>
                <w:sz w:val="18"/>
                <w:szCs w:val="18"/>
              </w:rPr>
            </w:pPr>
            <w:r w:rsidRPr="00422B98">
              <w:rPr>
                <w:sz w:val="18"/>
                <w:szCs w:val="18"/>
              </w:rPr>
              <w:t>0.6199</w:t>
            </w:r>
          </w:p>
        </w:tc>
        <w:tc>
          <w:tcPr>
            <w:tcW w:w="0" w:type="auto"/>
            <w:vMerge w:val="restart"/>
            <w:tcBorders>
              <w:top w:val="single" w:sz="4" w:space="0" w:color="auto"/>
            </w:tcBorders>
            <w:vAlign w:val="center"/>
          </w:tcPr>
          <w:p w14:paraId="6DC5E21F" w14:textId="77777777" w:rsidR="00422B98" w:rsidRPr="00422B98" w:rsidRDefault="00422B98" w:rsidP="00407C87">
            <w:pPr>
              <w:spacing w:line="320" w:lineRule="exact"/>
              <w:jc w:val="center"/>
              <w:rPr>
                <w:sz w:val="18"/>
                <w:szCs w:val="18"/>
              </w:rPr>
            </w:pPr>
            <w:r w:rsidRPr="00422B98">
              <w:rPr>
                <w:sz w:val="18"/>
                <w:szCs w:val="18"/>
              </w:rPr>
              <w:t>20</w:t>
            </w:r>
          </w:p>
        </w:tc>
        <w:tc>
          <w:tcPr>
            <w:tcW w:w="0" w:type="auto"/>
            <w:tcBorders>
              <w:top w:val="single" w:sz="4" w:space="0" w:color="auto"/>
            </w:tcBorders>
            <w:vAlign w:val="center"/>
          </w:tcPr>
          <w:p w14:paraId="5B80C2E9" w14:textId="77777777" w:rsidR="00422B98" w:rsidRPr="00422B98" w:rsidRDefault="00422B98" w:rsidP="00407C87">
            <w:pPr>
              <w:spacing w:line="320" w:lineRule="exact"/>
              <w:jc w:val="center"/>
              <w:rPr>
                <w:sz w:val="18"/>
                <w:szCs w:val="18"/>
              </w:rPr>
            </w:pPr>
            <w:r w:rsidRPr="00422B98">
              <w:rPr>
                <w:sz w:val="18"/>
                <w:szCs w:val="18"/>
              </w:rPr>
              <w:t>0.5550</w:t>
            </w:r>
          </w:p>
        </w:tc>
        <w:tc>
          <w:tcPr>
            <w:tcW w:w="0" w:type="auto"/>
            <w:vMerge w:val="restart"/>
            <w:tcBorders>
              <w:top w:val="single" w:sz="4" w:space="0" w:color="auto"/>
            </w:tcBorders>
            <w:vAlign w:val="center"/>
          </w:tcPr>
          <w:p w14:paraId="75C24406" w14:textId="77777777" w:rsidR="00422B98" w:rsidRPr="00422B98" w:rsidRDefault="00422B98" w:rsidP="00407C87">
            <w:pPr>
              <w:spacing w:line="320" w:lineRule="exact"/>
              <w:jc w:val="center"/>
              <w:rPr>
                <w:sz w:val="18"/>
                <w:szCs w:val="18"/>
              </w:rPr>
            </w:pPr>
            <w:r w:rsidRPr="00422B98">
              <w:rPr>
                <w:sz w:val="18"/>
                <w:szCs w:val="18"/>
              </w:rPr>
              <w:t>0.5552</w:t>
            </w:r>
          </w:p>
        </w:tc>
        <w:tc>
          <w:tcPr>
            <w:tcW w:w="0" w:type="auto"/>
            <w:vMerge w:val="restart"/>
            <w:tcBorders>
              <w:top w:val="single" w:sz="4" w:space="0" w:color="auto"/>
            </w:tcBorders>
            <w:vAlign w:val="center"/>
          </w:tcPr>
          <w:p w14:paraId="38B8A326" w14:textId="77777777" w:rsidR="00422B98" w:rsidRPr="00422B98" w:rsidRDefault="00422B98" w:rsidP="00407C87">
            <w:pPr>
              <w:spacing w:line="320" w:lineRule="exact"/>
              <w:jc w:val="center"/>
              <w:rPr>
                <w:sz w:val="18"/>
                <w:szCs w:val="18"/>
              </w:rPr>
            </w:pPr>
            <w:r w:rsidRPr="00422B98">
              <w:rPr>
                <w:sz w:val="18"/>
                <w:szCs w:val="18"/>
              </w:rPr>
              <w:t>10.437</w:t>
            </w:r>
          </w:p>
        </w:tc>
        <w:tc>
          <w:tcPr>
            <w:tcW w:w="0" w:type="auto"/>
            <w:vMerge w:val="restart"/>
            <w:tcBorders>
              <w:top w:val="single" w:sz="4" w:space="0" w:color="auto"/>
              <w:bottom w:val="single" w:sz="4" w:space="0" w:color="auto"/>
            </w:tcBorders>
            <w:vAlign w:val="center"/>
          </w:tcPr>
          <w:p w14:paraId="1E57C425" w14:textId="77777777" w:rsidR="00422B98" w:rsidRPr="00422B98" w:rsidRDefault="00422B98" w:rsidP="00407C87">
            <w:pPr>
              <w:spacing w:line="320" w:lineRule="exact"/>
              <w:jc w:val="center"/>
              <w:rPr>
                <w:sz w:val="18"/>
                <w:szCs w:val="18"/>
              </w:rPr>
            </w:pPr>
            <w:r w:rsidRPr="00422B98">
              <w:rPr>
                <w:sz w:val="18"/>
                <w:szCs w:val="18"/>
              </w:rPr>
              <w:t>y = 0.351x + 5.9751</w:t>
            </w:r>
          </w:p>
          <w:p w14:paraId="280C8307" w14:textId="77777777" w:rsidR="00422B98" w:rsidRPr="00422B98" w:rsidRDefault="00422B98" w:rsidP="00407C87">
            <w:pPr>
              <w:spacing w:line="320" w:lineRule="exact"/>
              <w:jc w:val="center"/>
              <w:rPr>
                <w:sz w:val="18"/>
                <w:szCs w:val="18"/>
              </w:rPr>
            </w:pPr>
          </w:p>
          <w:p w14:paraId="030B773E" w14:textId="77777777" w:rsidR="00422B98" w:rsidRPr="00422B98" w:rsidRDefault="00422B98" w:rsidP="00407C87">
            <w:pPr>
              <w:spacing w:line="320" w:lineRule="exact"/>
              <w:jc w:val="center"/>
              <w:rPr>
                <w:sz w:val="18"/>
                <w:szCs w:val="18"/>
              </w:rPr>
            </w:pPr>
            <w:r w:rsidRPr="00422B98">
              <w:rPr>
                <w:sz w:val="18"/>
                <w:szCs w:val="18"/>
              </w:rPr>
              <w:t>R</w:t>
            </w:r>
            <w:r w:rsidRPr="00422B98">
              <w:rPr>
                <w:sz w:val="18"/>
                <w:szCs w:val="18"/>
                <w:vertAlign w:val="superscript"/>
              </w:rPr>
              <w:t xml:space="preserve">2 </w:t>
            </w:r>
            <w:r w:rsidRPr="00422B98">
              <w:rPr>
                <w:sz w:val="18"/>
                <w:szCs w:val="18"/>
              </w:rPr>
              <w:t>= 0.9167</w:t>
            </w:r>
          </w:p>
        </w:tc>
        <w:tc>
          <w:tcPr>
            <w:tcW w:w="0" w:type="auto"/>
            <w:vMerge w:val="restart"/>
            <w:tcBorders>
              <w:top w:val="single" w:sz="4" w:space="0" w:color="auto"/>
              <w:bottom w:val="single" w:sz="4" w:space="0" w:color="auto"/>
            </w:tcBorders>
            <w:vAlign w:val="center"/>
          </w:tcPr>
          <w:p w14:paraId="69EA34E0" w14:textId="77777777" w:rsidR="00422B98" w:rsidRPr="00422B98" w:rsidRDefault="00422B98" w:rsidP="00407C87">
            <w:pPr>
              <w:spacing w:line="320" w:lineRule="exact"/>
              <w:jc w:val="center"/>
              <w:rPr>
                <w:sz w:val="18"/>
                <w:szCs w:val="18"/>
              </w:rPr>
            </w:pPr>
            <w:r w:rsidRPr="00422B98">
              <w:rPr>
                <w:sz w:val="18"/>
                <w:szCs w:val="18"/>
              </w:rPr>
              <w:t>125.42</w:t>
            </w:r>
          </w:p>
        </w:tc>
      </w:tr>
      <w:tr w:rsidR="00422B98" w:rsidRPr="00422B98" w14:paraId="79E79AEB" w14:textId="77777777" w:rsidTr="00C07A82">
        <w:trPr>
          <w:trHeight w:val="227"/>
        </w:trPr>
        <w:tc>
          <w:tcPr>
            <w:tcW w:w="0" w:type="auto"/>
            <w:vMerge/>
            <w:tcBorders>
              <w:bottom w:val="single" w:sz="4" w:space="0" w:color="auto"/>
            </w:tcBorders>
            <w:vAlign w:val="center"/>
          </w:tcPr>
          <w:p w14:paraId="40AFA4E4" w14:textId="77777777" w:rsidR="00422B98" w:rsidRPr="00422B98" w:rsidRDefault="00422B98" w:rsidP="00407C87">
            <w:pPr>
              <w:spacing w:line="320" w:lineRule="exact"/>
              <w:jc w:val="center"/>
              <w:rPr>
                <w:sz w:val="18"/>
                <w:szCs w:val="18"/>
              </w:rPr>
            </w:pPr>
          </w:p>
        </w:tc>
        <w:tc>
          <w:tcPr>
            <w:tcW w:w="0" w:type="auto"/>
            <w:vMerge/>
            <w:vAlign w:val="center"/>
          </w:tcPr>
          <w:p w14:paraId="2D5595BF" w14:textId="77777777" w:rsidR="00422B98" w:rsidRPr="00422B98" w:rsidRDefault="00422B98" w:rsidP="00407C87">
            <w:pPr>
              <w:spacing w:line="320" w:lineRule="exact"/>
              <w:jc w:val="center"/>
              <w:rPr>
                <w:sz w:val="18"/>
                <w:szCs w:val="18"/>
              </w:rPr>
            </w:pPr>
          </w:p>
        </w:tc>
        <w:tc>
          <w:tcPr>
            <w:tcW w:w="0" w:type="auto"/>
            <w:vAlign w:val="center"/>
          </w:tcPr>
          <w:p w14:paraId="475E8ED6" w14:textId="77777777" w:rsidR="00422B98" w:rsidRPr="00422B98" w:rsidRDefault="00422B98" w:rsidP="00407C87">
            <w:pPr>
              <w:spacing w:line="320" w:lineRule="exact"/>
              <w:jc w:val="center"/>
              <w:rPr>
                <w:sz w:val="18"/>
                <w:szCs w:val="18"/>
              </w:rPr>
            </w:pPr>
            <w:r w:rsidRPr="00422B98">
              <w:rPr>
                <w:sz w:val="18"/>
                <w:szCs w:val="18"/>
              </w:rPr>
              <w:t>0.5553</w:t>
            </w:r>
          </w:p>
        </w:tc>
        <w:tc>
          <w:tcPr>
            <w:tcW w:w="0" w:type="auto"/>
            <w:vMerge/>
            <w:vAlign w:val="center"/>
          </w:tcPr>
          <w:p w14:paraId="119A8867" w14:textId="77777777" w:rsidR="00422B98" w:rsidRPr="00422B98" w:rsidRDefault="00422B98" w:rsidP="00407C87">
            <w:pPr>
              <w:spacing w:line="320" w:lineRule="exact"/>
              <w:jc w:val="center"/>
              <w:rPr>
                <w:sz w:val="18"/>
                <w:szCs w:val="18"/>
              </w:rPr>
            </w:pPr>
          </w:p>
        </w:tc>
        <w:tc>
          <w:tcPr>
            <w:tcW w:w="0" w:type="auto"/>
            <w:vMerge/>
            <w:vAlign w:val="center"/>
          </w:tcPr>
          <w:p w14:paraId="706F9708"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0401EFEB"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595DADF6" w14:textId="77777777" w:rsidR="00422B98" w:rsidRPr="00422B98" w:rsidRDefault="00422B98" w:rsidP="00407C87">
            <w:pPr>
              <w:spacing w:line="320" w:lineRule="exact"/>
              <w:jc w:val="center"/>
              <w:rPr>
                <w:sz w:val="18"/>
                <w:szCs w:val="18"/>
              </w:rPr>
            </w:pPr>
          </w:p>
        </w:tc>
      </w:tr>
      <w:tr w:rsidR="00422B98" w:rsidRPr="00422B98" w14:paraId="1EBF4B01" w14:textId="77777777" w:rsidTr="00C07A82">
        <w:trPr>
          <w:trHeight w:val="227"/>
        </w:trPr>
        <w:tc>
          <w:tcPr>
            <w:tcW w:w="0" w:type="auto"/>
            <w:vMerge/>
            <w:tcBorders>
              <w:bottom w:val="single" w:sz="4" w:space="0" w:color="auto"/>
            </w:tcBorders>
            <w:vAlign w:val="center"/>
          </w:tcPr>
          <w:p w14:paraId="452F206F" w14:textId="77777777" w:rsidR="00422B98" w:rsidRPr="00422B98" w:rsidRDefault="00422B98" w:rsidP="00407C87">
            <w:pPr>
              <w:spacing w:line="320" w:lineRule="exact"/>
              <w:jc w:val="center"/>
              <w:rPr>
                <w:sz w:val="18"/>
                <w:szCs w:val="18"/>
              </w:rPr>
            </w:pPr>
          </w:p>
        </w:tc>
        <w:tc>
          <w:tcPr>
            <w:tcW w:w="0" w:type="auto"/>
            <w:vMerge/>
            <w:vAlign w:val="center"/>
          </w:tcPr>
          <w:p w14:paraId="3BFC0DED" w14:textId="77777777" w:rsidR="00422B98" w:rsidRPr="00422B98" w:rsidRDefault="00422B98" w:rsidP="00407C87">
            <w:pPr>
              <w:spacing w:line="320" w:lineRule="exact"/>
              <w:jc w:val="center"/>
              <w:rPr>
                <w:sz w:val="18"/>
                <w:szCs w:val="18"/>
              </w:rPr>
            </w:pPr>
          </w:p>
        </w:tc>
        <w:tc>
          <w:tcPr>
            <w:tcW w:w="0" w:type="auto"/>
            <w:vAlign w:val="center"/>
          </w:tcPr>
          <w:p w14:paraId="4FAF2180" w14:textId="77777777" w:rsidR="00422B98" w:rsidRPr="00422B98" w:rsidRDefault="00422B98" w:rsidP="00407C87">
            <w:pPr>
              <w:spacing w:line="320" w:lineRule="exact"/>
              <w:jc w:val="center"/>
              <w:rPr>
                <w:sz w:val="18"/>
                <w:szCs w:val="18"/>
              </w:rPr>
            </w:pPr>
            <w:r w:rsidRPr="00422B98">
              <w:rPr>
                <w:sz w:val="18"/>
                <w:szCs w:val="18"/>
              </w:rPr>
              <w:t>0.5554</w:t>
            </w:r>
          </w:p>
        </w:tc>
        <w:tc>
          <w:tcPr>
            <w:tcW w:w="0" w:type="auto"/>
            <w:vMerge/>
            <w:vAlign w:val="center"/>
          </w:tcPr>
          <w:p w14:paraId="0CA514A1" w14:textId="77777777" w:rsidR="00422B98" w:rsidRPr="00422B98" w:rsidRDefault="00422B98" w:rsidP="00407C87">
            <w:pPr>
              <w:spacing w:line="320" w:lineRule="exact"/>
              <w:jc w:val="center"/>
              <w:rPr>
                <w:sz w:val="18"/>
                <w:szCs w:val="18"/>
              </w:rPr>
            </w:pPr>
          </w:p>
        </w:tc>
        <w:tc>
          <w:tcPr>
            <w:tcW w:w="0" w:type="auto"/>
            <w:vMerge/>
            <w:vAlign w:val="center"/>
          </w:tcPr>
          <w:p w14:paraId="341511E5"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275C5AE1"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1D1737AB" w14:textId="77777777" w:rsidR="00422B98" w:rsidRPr="00422B98" w:rsidRDefault="00422B98" w:rsidP="00407C87">
            <w:pPr>
              <w:spacing w:line="320" w:lineRule="exact"/>
              <w:jc w:val="center"/>
              <w:rPr>
                <w:sz w:val="18"/>
                <w:szCs w:val="18"/>
              </w:rPr>
            </w:pPr>
          </w:p>
        </w:tc>
      </w:tr>
      <w:tr w:rsidR="00422B98" w:rsidRPr="00422B98" w14:paraId="53FF0822" w14:textId="77777777" w:rsidTr="00C07A82">
        <w:trPr>
          <w:trHeight w:val="227"/>
        </w:trPr>
        <w:tc>
          <w:tcPr>
            <w:tcW w:w="0" w:type="auto"/>
            <w:vMerge/>
            <w:tcBorders>
              <w:bottom w:val="single" w:sz="4" w:space="0" w:color="auto"/>
            </w:tcBorders>
            <w:vAlign w:val="center"/>
          </w:tcPr>
          <w:p w14:paraId="2BAD1B77" w14:textId="77777777" w:rsidR="00422B98" w:rsidRPr="00422B98" w:rsidRDefault="00422B98" w:rsidP="00407C87">
            <w:pPr>
              <w:spacing w:line="320" w:lineRule="exact"/>
              <w:jc w:val="center"/>
              <w:rPr>
                <w:sz w:val="18"/>
                <w:szCs w:val="18"/>
              </w:rPr>
            </w:pPr>
          </w:p>
        </w:tc>
        <w:tc>
          <w:tcPr>
            <w:tcW w:w="0" w:type="auto"/>
            <w:vMerge w:val="restart"/>
            <w:vAlign w:val="center"/>
          </w:tcPr>
          <w:p w14:paraId="2B035D41" w14:textId="77777777" w:rsidR="00422B98" w:rsidRPr="00422B98" w:rsidRDefault="00422B98" w:rsidP="00407C87">
            <w:pPr>
              <w:spacing w:line="320" w:lineRule="exact"/>
              <w:jc w:val="center"/>
              <w:rPr>
                <w:sz w:val="18"/>
                <w:szCs w:val="18"/>
              </w:rPr>
            </w:pPr>
            <w:r w:rsidRPr="00422B98">
              <w:rPr>
                <w:sz w:val="18"/>
                <w:szCs w:val="18"/>
              </w:rPr>
              <w:t>40</w:t>
            </w:r>
          </w:p>
        </w:tc>
        <w:tc>
          <w:tcPr>
            <w:tcW w:w="0" w:type="auto"/>
            <w:vAlign w:val="center"/>
          </w:tcPr>
          <w:p w14:paraId="3B1D42DB" w14:textId="77777777" w:rsidR="00422B98" w:rsidRPr="00422B98" w:rsidRDefault="00422B98" w:rsidP="00407C87">
            <w:pPr>
              <w:spacing w:line="320" w:lineRule="exact"/>
              <w:jc w:val="center"/>
              <w:rPr>
                <w:sz w:val="18"/>
                <w:szCs w:val="18"/>
              </w:rPr>
            </w:pPr>
            <w:r w:rsidRPr="00422B98">
              <w:rPr>
                <w:sz w:val="18"/>
                <w:szCs w:val="18"/>
              </w:rPr>
              <w:t>0.5324</w:t>
            </w:r>
          </w:p>
        </w:tc>
        <w:tc>
          <w:tcPr>
            <w:tcW w:w="0" w:type="auto"/>
            <w:vMerge w:val="restart"/>
            <w:vAlign w:val="center"/>
          </w:tcPr>
          <w:p w14:paraId="6C9AA6E5" w14:textId="77777777" w:rsidR="00422B98" w:rsidRPr="00422B98" w:rsidRDefault="00422B98" w:rsidP="00407C87">
            <w:pPr>
              <w:spacing w:line="320" w:lineRule="exact"/>
              <w:jc w:val="center"/>
              <w:rPr>
                <w:sz w:val="18"/>
                <w:szCs w:val="18"/>
              </w:rPr>
            </w:pPr>
            <w:r w:rsidRPr="00422B98">
              <w:rPr>
                <w:sz w:val="18"/>
                <w:szCs w:val="18"/>
              </w:rPr>
              <w:t>0.5325</w:t>
            </w:r>
          </w:p>
        </w:tc>
        <w:tc>
          <w:tcPr>
            <w:tcW w:w="0" w:type="auto"/>
            <w:vMerge w:val="restart"/>
            <w:vAlign w:val="center"/>
          </w:tcPr>
          <w:p w14:paraId="04018925" w14:textId="77777777" w:rsidR="00422B98" w:rsidRPr="00422B98" w:rsidRDefault="00422B98" w:rsidP="00407C87">
            <w:pPr>
              <w:spacing w:line="320" w:lineRule="exact"/>
              <w:jc w:val="center"/>
              <w:rPr>
                <w:sz w:val="18"/>
                <w:szCs w:val="18"/>
              </w:rPr>
            </w:pPr>
            <w:r w:rsidRPr="00422B98">
              <w:rPr>
                <w:sz w:val="18"/>
                <w:szCs w:val="18"/>
              </w:rPr>
              <w:t>14.099</w:t>
            </w:r>
          </w:p>
        </w:tc>
        <w:tc>
          <w:tcPr>
            <w:tcW w:w="0" w:type="auto"/>
            <w:vMerge/>
            <w:tcBorders>
              <w:bottom w:val="single" w:sz="4" w:space="0" w:color="auto"/>
            </w:tcBorders>
            <w:vAlign w:val="center"/>
          </w:tcPr>
          <w:p w14:paraId="49F6FDEC"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23782A64" w14:textId="77777777" w:rsidR="00422B98" w:rsidRPr="00422B98" w:rsidRDefault="00422B98" w:rsidP="00407C87">
            <w:pPr>
              <w:spacing w:line="320" w:lineRule="exact"/>
              <w:jc w:val="center"/>
              <w:rPr>
                <w:sz w:val="18"/>
                <w:szCs w:val="18"/>
              </w:rPr>
            </w:pPr>
          </w:p>
        </w:tc>
      </w:tr>
      <w:tr w:rsidR="00422B98" w:rsidRPr="00422B98" w14:paraId="796D73EE" w14:textId="77777777" w:rsidTr="00C07A82">
        <w:trPr>
          <w:trHeight w:val="227"/>
        </w:trPr>
        <w:tc>
          <w:tcPr>
            <w:tcW w:w="0" w:type="auto"/>
            <w:vMerge/>
            <w:tcBorders>
              <w:bottom w:val="single" w:sz="4" w:space="0" w:color="auto"/>
            </w:tcBorders>
            <w:vAlign w:val="center"/>
          </w:tcPr>
          <w:p w14:paraId="79E7D6F7" w14:textId="77777777" w:rsidR="00422B98" w:rsidRPr="00422B98" w:rsidRDefault="00422B98" w:rsidP="00407C87">
            <w:pPr>
              <w:spacing w:line="320" w:lineRule="exact"/>
              <w:jc w:val="center"/>
              <w:rPr>
                <w:sz w:val="18"/>
                <w:szCs w:val="18"/>
              </w:rPr>
            </w:pPr>
          </w:p>
        </w:tc>
        <w:tc>
          <w:tcPr>
            <w:tcW w:w="0" w:type="auto"/>
            <w:vMerge/>
            <w:vAlign w:val="center"/>
          </w:tcPr>
          <w:p w14:paraId="4E2EC108" w14:textId="77777777" w:rsidR="00422B98" w:rsidRPr="00422B98" w:rsidRDefault="00422B98" w:rsidP="00407C87">
            <w:pPr>
              <w:spacing w:line="320" w:lineRule="exact"/>
              <w:jc w:val="center"/>
              <w:rPr>
                <w:sz w:val="18"/>
                <w:szCs w:val="18"/>
              </w:rPr>
            </w:pPr>
          </w:p>
        </w:tc>
        <w:tc>
          <w:tcPr>
            <w:tcW w:w="0" w:type="auto"/>
            <w:vAlign w:val="center"/>
          </w:tcPr>
          <w:p w14:paraId="72B0411F" w14:textId="77777777" w:rsidR="00422B98" w:rsidRPr="00422B98" w:rsidRDefault="00422B98" w:rsidP="00407C87">
            <w:pPr>
              <w:spacing w:line="320" w:lineRule="exact"/>
              <w:jc w:val="center"/>
              <w:rPr>
                <w:sz w:val="18"/>
                <w:szCs w:val="18"/>
              </w:rPr>
            </w:pPr>
            <w:r w:rsidRPr="00422B98">
              <w:rPr>
                <w:sz w:val="18"/>
                <w:szCs w:val="18"/>
              </w:rPr>
              <w:t>0.5323</w:t>
            </w:r>
          </w:p>
        </w:tc>
        <w:tc>
          <w:tcPr>
            <w:tcW w:w="0" w:type="auto"/>
            <w:vMerge/>
            <w:vAlign w:val="center"/>
          </w:tcPr>
          <w:p w14:paraId="6EBF2DB5" w14:textId="77777777" w:rsidR="00422B98" w:rsidRPr="00422B98" w:rsidRDefault="00422B98" w:rsidP="00407C87">
            <w:pPr>
              <w:spacing w:line="320" w:lineRule="exact"/>
              <w:jc w:val="center"/>
              <w:rPr>
                <w:sz w:val="18"/>
                <w:szCs w:val="18"/>
              </w:rPr>
            </w:pPr>
          </w:p>
        </w:tc>
        <w:tc>
          <w:tcPr>
            <w:tcW w:w="0" w:type="auto"/>
            <w:vMerge/>
            <w:vAlign w:val="center"/>
          </w:tcPr>
          <w:p w14:paraId="374964E0"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15AFC36A"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12E86B6A" w14:textId="77777777" w:rsidR="00422B98" w:rsidRPr="00422B98" w:rsidRDefault="00422B98" w:rsidP="00407C87">
            <w:pPr>
              <w:spacing w:line="320" w:lineRule="exact"/>
              <w:jc w:val="center"/>
              <w:rPr>
                <w:sz w:val="18"/>
                <w:szCs w:val="18"/>
              </w:rPr>
            </w:pPr>
          </w:p>
        </w:tc>
      </w:tr>
      <w:tr w:rsidR="00422B98" w:rsidRPr="00422B98" w14:paraId="4983A8A5" w14:textId="77777777" w:rsidTr="00C07A82">
        <w:trPr>
          <w:trHeight w:val="227"/>
        </w:trPr>
        <w:tc>
          <w:tcPr>
            <w:tcW w:w="0" w:type="auto"/>
            <w:vMerge/>
            <w:tcBorders>
              <w:bottom w:val="single" w:sz="4" w:space="0" w:color="auto"/>
            </w:tcBorders>
            <w:vAlign w:val="center"/>
          </w:tcPr>
          <w:p w14:paraId="77057B07" w14:textId="77777777" w:rsidR="00422B98" w:rsidRPr="00422B98" w:rsidRDefault="00422B98" w:rsidP="00407C87">
            <w:pPr>
              <w:spacing w:line="320" w:lineRule="exact"/>
              <w:jc w:val="center"/>
              <w:rPr>
                <w:sz w:val="18"/>
                <w:szCs w:val="18"/>
              </w:rPr>
            </w:pPr>
          </w:p>
        </w:tc>
        <w:tc>
          <w:tcPr>
            <w:tcW w:w="0" w:type="auto"/>
            <w:vMerge/>
            <w:vAlign w:val="center"/>
          </w:tcPr>
          <w:p w14:paraId="284DA844" w14:textId="77777777" w:rsidR="00422B98" w:rsidRPr="00422B98" w:rsidRDefault="00422B98" w:rsidP="00407C87">
            <w:pPr>
              <w:spacing w:line="320" w:lineRule="exact"/>
              <w:jc w:val="center"/>
              <w:rPr>
                <w:sz w:val="18"/>
                <w:szCs w:val="18"/>
              </w:rPr>
            </w:pPr>
          </w:p>
        </w:tc>
        <w:tc>
          <w:tcPr>
            <w:tcW w:w="0" w:type="auto"/>
            <w:vAlign w:val="center"/>
          </w:tcPr>
          <w:p w14:paraId="463D01C2" w14:textId="77777777" w:rsidR="00422B98" w:rsidRPr="00422B98" w:rsidRDefault="00422B98" w:rsidP="00407C87">
            <w:pPr>
              <w:spacing w:line="320" w:lineRule="exact"/>
              <w:jc w:val="center"/>
              <w:rPr>
                <w:sz w:val="18"/>
                <w:szCs w:val="18"/>
              </w:rPr>
            </w:pPr>
            <w:r w:rsidRPr="00422B98">
              <w:rPr>
                <w:sz w:val="18"/>
                <w:szCs w:val="18"/>
              </w:rPr>
              <w:t>0.5327</w:t>
            </w:r>
          </w:p>
        </w:tc>
        <w:tc>
          <w:tcPr>
            <w:tcW w:w="0" w:type="auto"/>
            <w:vMerge/>
            <w:vAlign w:val="center"/>
          </w:tcPr>
          <w:p w14:paraId="2D794D23" w14:textId="77777777" w:rsidR="00422B98" w:rsidRPr="00422B98" w:rsidRDefault="00422B98" w:rsidP="00407C87">
            <w:pPr>
              <w:spacing w:line="320" w:lineRule="exact"/>
              <w:jc w:val="center"/>
              <w:rPr>
                <w:sz w:val="18"/>
                <w:szCs w:val="18"/>
              </w:rPr>
            </w:pPr>
          </w:p>
        </w:tc>
        <w:tc>
          <w:tcPr>
            <w:tcW w:w="0" w:type="auto"/>
            <w:vMerge/>
            <w:vAlign w:val="center"/>
          </w:tcPr>
          <w:p w14:paraId="21911381"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55A602E5"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5CC9EC86" w14:textId="77777777" w:rsidR="00422B98" w:rsidRPr="00422B98" w:rsidRDefault="00422B98" w:rsidP="00407C87">
            <w:pPr>
              <w:spacing w:line="320" w:lineRule="exact"/>
              <w:jc w:val="center"/>
              <w:rPr>
                <w:sz w:val="18"/>
                <w:szCs w:val="18"/>
              </w:rPr>
            </w:pPr>
          </w:p>
        </w:tc>
      </w:tr>
      <w:tr w:rsidR="00422B98" w:rsidRPr="00422B98" w14:paraId="43E3C920" w14:textId="77777777" w:rsidTr="00C07A82">
        <w:trPr>
          <w:trHeight w:val="227"/>
        </w:trPr>
        <w:tc>
          <w:tcPr>
            <w:tcW w:w="0" w:type="auto"/>
            <w:vMerge/>
            <w:tcBorders>
              <w:bottom w:val="single" w:sz="4" w:space="0" w:color="auto"/>
            </w:tcBorders>
            <w:vAlign w:val="center"/>
          </w:tcPr>
          <w:p w14:paraId="5AE9A538" w14:textId="77777777" w:rsidR="00422B98" w:rsidRPr="00422B98" w:rsidRDefault="00422B98" w:rsidP="00407C87">
            <w:pPr>
              <w:spacing w:line="320" w:lineRule="exact"/>
              <w:jc w:val="center"/>
              <w:rPr>
                <w:sz w:val="18"/>
                <w:szCs w:val="18"/>
              </w:rPr>
            </w:pPr>
          </w:p>
        </w:tc>
        <w:tc>
          <w:tcPr>
            <w:tcW w:w="0" w:type="auto"/>
            <w:vMerge w:val="restart"/>
            <w:vAlign w:val="center"/>
          </w:tcPr>
          <w:p w14:paraId="50744908" w14:textId="77777777" w:rsidR="00422B98" w:rsidRPr="00422B98" w:rsidRDefault="00422B98" w:rsidP="00407C87">
            <w:pPr>
              <w:spacing w:line="320" w:lineRule="exact"/>
              <w:jc w:val="center"/>
              <w:rPr>
                <w:sz w:val="18"/>
                <w:szCs w:val="18"/>
              </w:rPr>
            </w:pPr>
            <w:r w:rsidRPr="00422B98">
              <w:rPr>
                <w:sz w:val="18"/>
                <w:szCs w:val="18"/>
              </w:rPr>
              <w:t>60</w:t>
            </w:r>
          </w:p>
        </w:tc>
        <w:tc>
          <w:tcPr>
            <w:tcW w:w="0" w:type="auto"/>
            <w:vAlign w:val="center"/>
          </w:tcPr>
          <w:p w14:paraId="1822A322" w14:textId="77777777" w:rsidR="00422B98" w:rsidRPr="00422B98" w:rsidRDefault="00422B98" w:rsidP="00407C87">
            <w:pPr>
              <w:spacing w:line="320" w:lineRule="exact"/>
              <w:jc w:val="center"/>
              <w:rPr>
                <w:sz w:val="18"/>
                <w:szCs w:val="18"/>
              </w:rPr>
            </w:pPr>
            <w:r w:rsidRPr="00422B98">
              <w:rPr>
                <w:sz w:val="18"/>
                <w:szCs w:val="18"/>
              </w:rPr>
              <w:t>0.4639</w:t>
            </w:r>
          </w:p>
        </w:tc>
        <w:tc>
          <w:tcPr>
            <w:tcW w:w="0" w:type="auto"/>
            <w:vMerge w:val="restart"/>
            <w:vAlign w:val="center"/>
          </w:tcPr>
          <w:p w14:paraId="03D9000F" w14:textId="77777777" w:rsidR="00422B98" w:rsidRPr="00422B98" w:rsidRDefault="00422B98" w:rsidP="00407C87">
            <w:pPr>
              <w:spacing w:line="320" w:lineRule="exact"/>
              <w:jc w:val="center"/>
              <w:rPr>
                <w:sz w:val="18"/>
                <w:szCs w:val="18"/>
              </w:rPr>
            </w:pPr>
            <w:r w:rsidRPr="00422B98">
              <w:rPr>
                <w:sz w:val="18"/>
                <w:szCs w:val="18"/>
              </w:rPr>
              <w:t>0.4640</w:t>
            </w:r>
          </w:p>
        </w:tc>
        <w:tc>
          <w:tcPr>
            <w:tcW w:w="0" w:type="auto"/>
            <w:vMerge w:val="restart"/>
            <w:vAlign w:val="center"/>
          </w:tcPr>
          <w:p w14:paraId="36E3F579" w14:textId="77777777" w:rsidR="00422B98" w:rsidRPr="00422B98" w:rsidRDefault="00422B98" w:rsidP="00407C87">
            <w:pPr>
              <w:spacing w:line="320" w:lineRule="exact"/>
              <w:jc w:val="center"/>
              <w:rPr>
                <w:sz w:val="18"/>
                <w:szCs w:val="18"/>
              </w:rPr>
            </w:pPr>
            <w:r w:rsidRPr="00422B98">
              <w:rPr>
                <w:sz w:val="18"/>
                <w:szCs w:val="18"/>
              </w:rPr>
              <w:t>25.149</w:t>
            </w:r>
          </w:p>
        </w:tc>
        <w:tc>
          <w:tcPr>
            <w:tcW w:w="0" w:type="auto"/>
            <w:vMerge/>
            <w:tcBorders>
              <w:bottom w:val="single" w:sz="4" w:space="0" w:color="auto"/>
            </w:tcBorders>
            <w:vAlign w:val="center"/>
          </w:tcPr>
          <w:p w14:paraId="624CFB5F"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3E54523D" w14:textId="77777777" w:rsidR="00422B98" w:rsidRPr="00422B98" w:rsidRDefault="00422B98" w:rsidP="00407C87">
            <w:pPr>
              <w:spacing w:line="320" w:lineRule="exact"/>
              <w:jc w:val="center"/>
              <w:rPr>
                <w:sz w:val="18"/>
                <w:szCs w:val="18"/>
              </w:rPr>
            </w:pPr>
          </w:p>
        </w:tc>
      </w:tr>
      <w:tr w:rsidR="00422B98" w:rsidRPr="00422B98" w14:paraId="4D1DDAC3" w14:textId="77777777" w:rsidTr="00C07A82">
        <w:trPr>
          <w:trHeight w:val="227"/>
        </w:trPr>
        <w:tc>
          <w:tcPr>
            <w:tcW w:w="0" w:type="auto"/>
            <w:vMerge/>
            <w:tcBorders>
              <w:bottom w:val="single" w:sz="4" w:space="0" w:color="auto"/>
            </w:tcBorders>
            <w:vAlign w:val="center"/>
          </w:tcPr>
          <w:p w14:paraId="14A797BC" w14:textId="77777777" w:rsidR="00422B98" w:rsidRPr="00422B98" w:rsidRDefault="00422B98" w:rsidP="00407C87">
            <w:pPr>
              <w:spacing w:line="320" w:lineRule="exact"/>
              <w:jc w:val="center"/>
              <w:rPr>
                <w:sz w:val="18"/>
                <w:szCs w:val="18"/>
              </w:rPr>
            </w:pPr>
          </w:p>
        </w:tc>
        <w:tc>
          <w:tcPr>
            <w:tcW w:w="0" w:type="auto"/>
            <w:vMerge/>
            <w:vAlign w:val="center"/>
          </w:tcPr>
          <w:p w14:paraId="7C74C93B" w14:textId="77777777" w:rsidR="00422B98" w:rsidRPr="00422B98" w:rsidRDefault="00422B98" w:rsidP="00407C87">
            <w:pPr>
              <w:spacing w:line="320" w:lineRule="exact"/>
              <w:jc w:val="center"/>
              <w:rPr>
                <w:sz w:val="18"/>
                <w:szCs w:val="18"/>
              </w:rPr>
            </w:pPr>
          </w:p>
        </w:tc>
        <w:tc>
          <w:tcPr>
            <w:tcW w:w="0" w:type="auto"/>
            <w:vAlign w:val="center"/>
          </w:tcPr>
          <w:p w14:paraId="2758D6A5" w14:textId="77777777" w:rsidR="00422B98" w:rsidRPr="00422B98" w:rsidRDefault="00422B98" w:rsidP="00407C87">
            <w:pPr>
              <w:spacing w:line="320" w:lineRule="exact"/>
              <w:jc w:val="center"/>
              <w:rPr>
                <w:sz w:val="18"/>
                <w:szCs w:val="18"/>
              </w:rPr>
            </w:pPr>
            <w:r w:rsidRPr="00422B98">
              <w:rPr>
                <w:sz w:val="18"/>
                <w:szCs w:val="18"/>
              </w:rPr>
              <w:t>0.4640</w:t>
            </w:r>
          </w:p>
        </w:tc>
        <w:tc>
          <w:tcPr>
            <w:tcW w:w="0" w:type="auto"/>
            <w:vMerge/>
            <w:vAlign w:val="center"/>
          </w:tcPr>
          <w:p w14:paraId="162F3550" w14:textId="77777777" w:rsidR="00422B98" w:rsidRPr="00422B98" w:rsidRDefault="00422B98" w:rsidP="00407C87">
            <w:pPr>
              <w:spacing w:line="320" w:lineRule="exact"/>
              <w:jc w:val="center"/>
              <w:rPr>
                <w:sz w:val="18"/>
                <w:szCs w:val="18"/>
              </w:rPr>
            </w:pPr>
          </w:p>
        </w:tc>
        <w:tc>
          <w:tcPr>
            <w:tcW w:w="0" w:type="auto"/>
            <w:vMerge/>
            <w:vAlign w:val="center"/>
          </w:tcPr>
          <w:p w14:paraId="2C1CE879"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6C0F3C73"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1F8F0775" w14:textId="77777777" w:rsidR="00422B98" w:rsidRPr="00422B98" w:rsidRDefault="00422B98" w:rsidP="00407C87">
            <w:pPr>
              <w:spacing w:line="320" w:lineRule="exact"/>
              <w:jc w:val="center"/>
              <w:rPr>
                <w:sz w:val="18"/>
                <w:szCs w:val="18"/>
              </w:rPr>
            </w:pPr>
          </w:p>
        </w:tc>
      </w:tr>
      <w:tr w:rsidR="00422B98" w:rsidRPr="00422B98" w14:paraId="3FB8AAE8" w14:textId="77777777" w:rsidTr="00C07A82">
        <w:trPr>
          <w:trHeight w:val="227"/>
        </w:trPr>
        <w:tc>
          <w:tcPr>
            <w:tcW w:w="0" w:type="auto"/>
            <w:vMerge/>
            <w:tcBorders>
              <w:bottom w:val="single" w:sz="4" w:space="0" w:color="auto"/>
            </w:tcBorders>
            <w:vAlign w:val="center"/>
          </w:tcPr>
          <w:p w14:paraId="0D5E3AB8" w14:textId="77777777" w:rsidR="00422B98" w:rsidRPr="00422B98" w:rsidRDefault="00422B98" w:rsidP="00407C87">
            <w:pPr>
              <w:spacing w:line="320" w:lineRule="exact"/>
              <w:jc w:val="center"/>
              <w:rPr>
                <w:sz w:val="18"/>
                <w:szCs w:val="18"/>
              </w:rPr>
            </w:pPr>
          </w:p>
        </w:tc>
        <w:tc>
          <w:tcPr>
            <w:tcW w:w="0" w:type="auto"/>
            <w:vMerge/>
            <w:vAlign w:val="center"/>
          </w:tcPr>
          <w:p w14:paraId="72FF4A15" w14:textId="77777777" w:rsidR="00422B98" w:rsidRPr="00422B98" w:rsidRDefault="00422B98" w:rsidP="00407C87">
            <w:pPr>
              <w:spacing w:line="320" w:lineRule="exact"/>
              <w:jc w:val="center"/>
              <w:rPr>
                <w:sz w:val="18"/>
                <w:szCs w:val="18"/>
              </w:rPr>
            </w:pPr>
          </w:p>
        </w:tc>
        <w:tc>
          <w:tcPr>
            <w:tcW w:w="0" w:type="auto"/>
            <w:vAlign w:val="center"/>
          </w:tcPr>
          <w:p w14:paraId="46C9EC08" w14:textId="77777777" w:rsidR="00422B98" w:rsidRPr="00422B98" w:rsidRDefault="00422B98" w:rsidP="00407C87">
            <w:pPr>
              <w:spacing w:line="320" w:lineRule="exact"/>
              <w:jc w:val="center"/>
              <w:rPr>
                <w:sz w:val="18"/>
                <w:szCs w:val="18"/>
              </w:rPr>
            </w:pPr>
            <w:r w:rsidRPr="00422B98">
              <w:rPr>
                <w:sz w:val="18"/>
                <w:szCs w:val="18"/>
              </w:rPr>
              <w:t>0.4640</w:t>
            </w:r>
          </w:p>
        </w:tc>
        <w:tc>
          <w:tcPr>
            <w:tcW w:w="0" w:type="auto"/>
            <w:vMerge/>
            <w:vAlign w:val="center"/>
          </w:tcPr>
          <w:p w14:paraId="4B70D808" w14:textId="77777777" w:rsidR="00422B98" w:rsidRPr="00422B98" w:rsidRDefault="00422B98" w:rsidP="00407C87">
            <w:pPr>
              <w:spacing w:line="320" w:lineRule="exact"/>
              <w:jc w:val="center"/>
              <w:rPr>
                <w:sz w:val="18"/>
                <w:szCs w:val="18"/>
              </w:rPr>
            </w:pPr>
          </w:p>
        </w:tc>
        <w:tc>
          <w:tcPr>
            <w:tcW w:w="0" w:type="auto"/>
            <w:vMerge/>
            <w:vAlign w:val="center"/>
          </w:tcPr>
          <w:p w14:paraId="431C7EAD"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37348F89"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767348B1" w14:textId="77777777" w:rsidR="00422B98" w:rsidRPr="00422B98" w:rsidRDefault="00422B98" w:rsidP="00407C87">
            <w:pPr>
              <w:spacing w:line="320" w:lineRule="exact"/>
              <w:jc w:val="center"/>
              <w:rPr>
                <w:sz w:val="18"/>
                <w:szCs w:val="18"/>
              </w:rPr>
            </w:pPr>
          </w:p>
        </w:tc>
      </w:tr>
      <w:tr w:rsidR="00422B98" w:rsidRPr="00422B98" w14:paraId="57EAF22E" w14:textId="77777777" w:rsidTr="00C07A82">
        <w:trPr>
          <w:trHeight w:val="227"/>
        </w:trPr>
        <w:tc>
          <w:tcPr>
            <w:tcW w:w="0" w:type="auto"/>
            <w:vMerge/>
            <w:tcBorders>
              <w:bottom w:val="single" w:sz="4" w:space="0" w:color="auto"/>
            </w:tcBorders>
            <w:vAlign w:val="center"/>
          </w:tcPr>
          <w:p w14:paraId="2A8162D2" w14:textId="77777777" w:rsidR="00422B98" w:rsidRPr="00422B98" w:rsidRDefault="00422B98" w:rsidP="00407C87">
            <w:pPr>
              <w:spacing w:line="320" w:lineRule="exact"/>
              <w:jc w:val="center"/>
              <w:rPr>
                <w:sz w:val="18"/>
                <w:szCs w:val="18"/>
              </w:rPr>
            </w:pPr>
          </w:p>
        </w:tc>
        <w:tc>
          <w:tcPr>
            <w:tcW w:w="0" w:type="auto"/>
            <w:vMerge w:val="restart"/>
            <w:vAlign w:val="center"/>
          </w:tcPr>
          <w:p w14:paraId="40B8D247" w14:textId="77777777" w:rsidR="00422B98" w:rsidRPr="00422B98" w:rsidRDefault="00422B98" w:rsidP="00407C87">
            <w:pPr>
              <w:spacing w:line="320" w:lineRule="exact"/>
              <w:jc w:val="center"/>
              <w:rPr>
                <w:sz w:val="18"/>
                <w:szCs w:val="18"/>
              </w:rPr>
            </w:pPr>
            <w:r w:rsidRPr="00422B98">
              <w:rPr>
                <w:sz w:val="18"/>
                <w:szCs w:val="18"/>
              </w:rPr>
              <w:t>80</w:t>
            </w:r>
          </w:p>
        </w:tc>
        <w:tc>
          <w:tcPr>
            <w:tcW w:w="0" w:type="auto"/>
            <w:vAlign w:val="center"/>
          </w:tcPr>
          <w:p w14:paraId="0D67CC48" w14:textId="77777777" w:rsidR="00422B98" w:rsidRPr="00422B98" w:rsidRDefault="00422B98" w:rsidP="00407C87">
            <w:pPr>
              <w:spacing w:line="320" w:lineRule="exact"/>
              <w:jc w:val="center"/>
              <w:rPr>
                <w:sz w:val="18"/>
                <w:szCs w:val="18"/>
              </w:rPr>
            </w:pPr>
            <w:r w:rsidRPr="00422B98">
              <w:rPr>
                <w:sz w:val="18"/>
                <w:szCs w:val="18"/>
              </w:rPr>
              <w:t>0.4590</w:t>
            </w:r>
          </w:p>
        </w:tc>
        <w:tc>
          <w:tcPr>
            <w:tcW w:w="0" w:type="auto"/>
            <w:vMerge w:val="restart"/>
            <w:vAlign w:val="center"/>
          </w:tcPr>
          <w:p w14:paraId="62149B81" w14:textId="77777777" w:rsidR="00422B98" w:rsidRPr="00422B98" w:rsidRDefault="00422B98" w:rsidP="00407C87">
            <w:pPr>
              <w:spacing w:line="320" w:lineRule="exact"/>
              <w:jc w:val="center"/>
              <w:rPr>
                <w:sz w:val="18"/>
                <w:szCs w:val="18"/>
              </w:rPr>
            </w:pPr>
            <w:r w:rsidRPr="00422B98">
              <w:rPr>
                <w:sz w:val="18"/>
                <w:szCs w:val="18"/>
              </w:rPr>
              <w:t>0.4599</w:t>
            </w:r>
          </w:p>
        </w:tc>
        <w:tc>
          <w:tcPr>
            <w:tcW w:w="0" w:type="auto"/>
            <w:vMerge w:val="restart"/>
            <w:vAlign w:val="center"/>
          </w:tcPr>
          <w:p w14:paraId="4B9E8A4A" w14:textId="77777777" w:rsidR="00422B98" w:rsidRPr="00422B98" w:rsidRDefault="00422B98" w:rsidP="00407C87">
            <w:pPr>
              <w:spacing w:line="320" w:lineRule="exact"/>
              <w:jc w:val="center"/>
              <w:rPr>
                <w:sz w:val="18"/>
                <w:szCs w:val="18"/>
              </w:rPr>
            </w:pPr>
            <w:r w:rsidRPr="00422B98">
              <w:rPr>
                <w:sz w:val="18"/>
                <w:szCs w:val="18"/>
              </w:rPr>
              <w:t>25.810</w:t>
            </w:r>
          </w:p>
        </w:tc>
        <w:tc>
          <w:tcPr>
            <w:tcW w:w="0" w:type="auto"/>
            <w:vMerge/>
            <w:tcBorders>
              <w:bottom w:val="single" w:sz="4" w:space="0" w:color="auto"/>
            </w:tcBorders>
            <w:vAlign w:val="center"/>
          </w:tcPr>
          <w:p w14:paraId="1C2C1E57"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6394A0D5" w14:textId="77777777" w:rsidR="00422B98" w:rsidRPr="00422B98" w:rsidRDefault="00422B98" w:rsidP="00407C87">
            <w:pPr>
              <w:spacing w:line="320" w:lineRule="exact"/>
              <w:jc w:val="center"/>
              <w:rPr>
                <w:sz w:val="18"/>
                <w:szCs w:val="18"/>
              </w:rPr>
            </w:pPr>
          </w:p>
        </w:tc>
      </w:tr>
      <w:tr w:rsidR="00422B98" w:rsidRPr="00422B98" w14:paraId="70D8D4D9" w14:textId="77777777" w:rsidTr="00C07A82">
        <w:trPr>
          <w:trHeight w:val="227"/>
        </w:trPr>
        <w:tc>
          <w:tcPr>
            <w:tcW w:w="0" w:type="auto"/>
            <w:vMerge/>
            <w:tcBorders>
              <w:bottom w:val="single" w:sz="4" w:space="0" w:color="auto"/>
            </w:tcBorders>
            <w:vAlign w:val="center"/>
          </w:tcPr>
          <w:p w14:paraId="6B59B0A4" w14:textId="77777777" w:rsidR="00422B98" w:rsidRPr="00422B98" w:rsidRDefault="00422B98" w:rsidP="00407C87">
            <w:pPr>
              <w:spacing w:line="320" w:lineRule="exact"/>
              <w:jc w:val="center"/>
              <w:rPr>
                <w:sz w:val="18"/>
                <w:szCs w:val="18"/>
              </w:rPr>
            </w:pPr>
          </w:p>
        </w:tc>
        <w:tc>
          <w:tcPr>
            <w:tcW w:w="0" w:type="auto"/>
            <w:vMerge/>
            <w:vAlign w:val="center"/>
          </w:tcPr>
          <w:p w14:paraId="6ADA6CED" w14:textId="77777777" w:rsidR="00422B98" w:rsidRPr="00422B98" w:rsidRDefault="00422B98" w:rsidP="00407C87">
            <w:pPr>
              <w:spacing w:line="320" w:lineRule="exact"/>
              <w:jc w:val="center"/>
              <w:rPr>
                <w:sz w:val="18"/>
                <w:szCs w:val="18"/>
              </w:rPr>
            </w:pPr>
          </w:p>
        </w:tc>
        <w:tc>
          <w:tcPr>
            <w:tcW w:w="0" w:type="auto"/>
            <w:vAlign w:val="center"/>
          </w:tcPr>
          <w:p w14:paraId="5891A8EC" w14:textId="77777777" w:rsidR="00422B98" w:rsidRPr="00422B98" w:rsidRDefault="00422B98" w:rsidP="00407C87">
            <w:pPr>
              <w:spacing w:line="320" w:lineRule="exact"/>
              <w:jc w:val="center"/>
              <w:rPr>
                <w:sz w:val="18"/>
                <w:szCs w:val="18"/>
              </w:rPr>
            </w:pPr>
            <w:r w:rsidRPr="00422B98">
              <w:rPr>
                <w:sz w:val="18"/>
                <w:szCs w:val="18"/>
              </w:rPr>
              <w:t>0.4599</w:t>
            </w:r>
          </w:p>
        </w:tc>
        <w:tc>
          <w:tcPr>
            <w:tcW w:w="0" w:type="auto"/>
            <w:vMerge/>
            <w:vAlign w:val="center"/>
          </w:tcPr>
          <w:p w14:paraId="670A4411" w14:textId="77777777" w:rsidR="00422B98" w:rsidRPr="00422B98" w:rsidRDefault="00422B98" w:rsidP="00407C87">
            <w:pPr>
              <w:spacing w:line="320" w:lineRule="exact"/>
              <w:jc w:val="center"/>
              <w:rPr>
                <w:sz w:val="18"/>
                <w:szCs w:val="18"/>
              </w:rPr>
            </w:pPr>
          </w:p>
        </w:tc>
        <w:tc>
          <w:tcPr>
            <w:tcW w:w="0" w:type="auto"/>
            <w:vMerge/>
            <w:vAlign w:val="center"/>
          </w:tcPr>
          <w:p w14:paraId="0FE23451"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73FDCFBB"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6B171DA3" w14:textId="77777777" w:rsidR="00422B98" w:rsidRPr="00422B98" w:rsidRDefault="00422B98" w:rsidP="00407C87">
            <w:pPr>
              <w:spacing w:line="320" w:lineRule="exact"/>
              <w:jc w:val="center"/>
              <w:rPr>
                <w:sz w:val="18"/>
                <w:szCs w:val="18"/>
              </w:rPr>
            </w:pPr>
          </w:p>
        </w:tc>
      </w:tr>
      <w:tr w:rsidR="00422B98" w:rsidRPr="00422B98" w14:paraId="3A2D4D5E" w14:textId="77777777" w:rsidTr="00C07A82">
        <w:trPr>
          <w:trHeight w:val="227"/>
        </w:trPr>
        <w:tc>
          <w:tcPr>
            <w:tcW w:w="0" w:type="auto"/>
            <w:vMerge/>
            <w:tcBorders>
              <w:bottom w:val="single" w:sz="4" w:space="0" w:color="auto"/>
            </w:tcBorders>
            <w:vAlign w:val="center"/>
          </w:tcPr>
          <w:p w14:paraId="496A728E" w14:textId="77777777" w:rsidR="00422B98" w:rsidRPr="00422B98" w:rsidRDefault="00422B98" w:rsidP="00407C87">
            <w:pPr>
              <w:spacing w:line="320" w:lineRule="exact"/>
              <w:jc w:val="center"/>
              <w:rPr>
                <w:sz w:val="18"/>
                <w:szCs w:val="18"/>
              </w:rPr>
            </w:pPr>
          </w:p>
        </w:tc>
        <w:tc>
          <w:tcPr>
            <w:tcW w:w="0" w:type="auto"/>
            <w:vMerge/>
            <w:vAlign w:val="center"/>
          </w:tcPr>
          <w:p w14:paraId="13B996D1" w14:textId="77777777" w:rsidR="00422B98" w:rsidRPr="00422B98" w:rsidRDefault="00422B98" w:rsidP="00407C87">
            <w:pPr>
              <w:spacing w:line="320" w:lineRule="exact"/>
              <w:jc w:val="center"/>
              <w:rPr>
                <w:sz w:val="18"/>
                <w:szCs w:val="18"/>
              </w:rPr>
            </w:pPr>
          </w:p>
        </w:tc>
        <w:tc>
          <w:tcPr>
            <w:tcW w:w="0" w:type="auto"/>
            <w:vAlign w:val="center"/>
          </w:tcPr>
          <w:p w14:paraId="51DB929C" w14:textId="77777777" w:rsidR="00422B98" w:rsidRPr="00422B98" w:rsidRDefault="00422B98" w:rsidP="00407C87">
            <w:pPr>
              <w:spacing w:line="320" w:lineRule="exact"/>
              <w:jc w:val="center"/>
              <w:rPr>
                <w:sz w:val="18"/>
                <w:szCs w:val="18"/>
              </w:rPr>
            </w:pPr>
            <w:r w:rsidRPr="00422B98">
              <w:rPr>
                <w:sz w:val="18"/>
                <w:szCs w:val="18"/>
              </w:rPr>
              <w:t>0.4609</w:t>
            </w:r>
          </w:p>
        </w:tc>
        <w:tc>
          <w:tcPr>
            <w:tcW w:w="0" w:type="auto"/>
            <w:vMerge/>
            <w:vAlign w:val="center"/>
          </w:tcPr>
          <w:p w14:paraId="6F945DD6" w14:textId="77777777" w:rsidR="00422B98" w:rsidRPr="00422B98" w:rsidRDefault="00422B98" w:rsidP="00407C87">
            <w:pPr>
              <w:spacing w:line="320" w:lineRule="exact"/>
              <w:jc w:val="center"/>
              <w:rPr>
                <w:sz w:val="18"/>
                <w:szCs w:val="18"/>
              </w:rPr>
            </w:pPr>
          </w:p>
        </w:tc>
        <w:tc>
          <w:tcPr>
            <w:tcW w:w="0" w:type="auto"/>
            <w:vMerge/>
            <w:vAlign w:val="center"/>
          </w:tcPr>
          <w:p w14:paraId="29E0BB8D"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2D87DDC6"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5053CEB1" w14:textId="77777777" w:rsidR="00422B98" w:rsidRPr="00422B98" w:rsidRDefault="00422B98" w:rsidP="00407C87">
            <w:pPr>
              <w:spacing w:line="320" w:lineRule="exact"/>
              <w:jc w:val="center"/>
              <w:rPr>
                <w:sz w:val="18"/>
                <w:szCs w:val="18"/>
              </w:rPr>
            </w:pPr>
          </w:p>
        </w:tc>
      </w:tr>
      <w:tr w:rsidR="00422B98" w:rsidRPr="00422B98" w14:paraId="2190B960" w14:textId="77777777" w:rsidTr="00C07A82">
        <w:trPr>
          <w:trHeight w:val="227"/>
        </w:trPr>
        <w:tc>
          <w:tcPr>
            <w:tcW w:w="0" w:type="auto"/>
            <w:vMerge/>
            <w:tcBorders>
              <w:bottom w:val="single" w:sz="4" w:space="0" w:color="auto"/>
            </w:tcBorders>
            <w:vAlign w:val="center"/>
          </w:tcPr>
          <w:p w14:paraId="76FDECA8" w14:textId="77777777" w:rsidR="00422B98" w:rsidRPr="00422B98" w:rsidRDefault="00422B98" w:rsidP="00407C87">
            <w:pPr>
              <w:spacing w:line="320" w:lineRule="exact"/>
              <w:jc w:val="center"/>
              <w:rPr>
                <w:sz w:val="18"/>
                <w:szCs w:val="18"/>
              </w:rPr>
            </w:pPr>
          </w:p>
        </w:tc>
        <w:tc>
          <w:tcPr>
            <w:tcW w:w="0" w:type="auto"/>
            <w:vMerge w:val="restart"/>
            <w:tcBorders>
              <w:bottom w:val="single" w:sz="4" w:space="0" w:color="auto"/>
            </w:tcBorders>
            <w:vAlign w:val="center"/>
          </w:tcPr>
          <w:p w14:paraId="066CDD40" w14:textId="77777777" w:rsidR="00422B98" w:rsidRPr="00422B98" w:rsidRDefault="00422B98" w:rsidP="00407C87">
            <w:pPr>
              <w:spacing w:line="320" w:lineRule="exact"/>
              <w:jc w:val="center"/>
              <w:rPr>
                <w:sz w:val="18"/>
                <w:szCs w:val="18"/>
              </w:rPr>
            </w:pPr>
            <w:r w:rsidRPr="00422B98">
              <w:rPr>
                <w:sz w:val="18"/>
                <w:szCs w:val="18"/>
              </w:rPr>
              <w:t>100</w:t>
            </w:r>
          </w:p>
        </w:tc>
        <w:tc>
          <w:tcPr>
            <w:tcW w:w="0" w:type="auto"/>
            <w:vAlign w:val="center"/>
          </w:tcPr>
          <w:p w14:paraId="1970893D" w14:textId="77777777" w:rsidR="00422B98" w:rsidRPr="00422B98" w:rsidRDefault="00422B98" w:rsidP="00407C87">
            <w:pPr>
              <w:spacing w:line="320" w:lineRule="exact"/>
              <w:jc w:val="center"/>
              <w:rPr>
                <w:sz w:val="18"/>
                <w:szCs w:val="18"/>
              </w:rPr>
            </w:pPr>
            <w:r w:rsidRPr="00422B98">
              <w:rPr>
                <w:sz w:val="18"/>
                <w:szCs w:val="18"/>
              </w:rPr>
              <w:t>0.4342</w:t>
            </w:r>
          </w:p>
        </w:tc>
        <w:tc>
          <w:tcPr>
            <w:tcW w:w="0" w:type="auto"/>
            <w:vMerge w:val="restart"/>
            <w:tcBorders>
              <w:bottom w:val="single" w:sz="4" w:space="0" w:color="auto"/>
            </w:tcBorders>
            <w:vAlign w:val="center"/>
          </w:tcPr>
          <w:p w14:paraId="0D4DAA5A" w14:textId="77777777" w:rsidR="00422B98" w:rsidRPr="00422B98" w:rsidRDefault="00422B98" w:rsidP="00407C87">
            <w:pPr>
              <w:spacing w:line="320" w:lineRule="exact"/>
              <w:jc w:val="center"/>
              <w:rPr>
                <w:sz w:val="18"/>
                <w:szCs w:val="18"/>
              </w:rPr>
            </w:pPr>
            <w:r w:rsidRPr="00422B98">
              <w:rPr>
                <w:sz w:val="18"/>
                <w:szCs w:val="18"/>
              </w:rPr>
              <w:t>0.4359</w:t>
            </w:r>
          </w:p>
        </w:tc>
        <w:tc>
          <w:tcPr>
            <w:tcW w:w="0" w:type="auto"/>
            <w:vMerge w:val="restart"/>
            <w:tcBorders>
              <w:bottom w:val="single" w:sz="4" w:space="0" w:color="auto"/>
            </w:tcBorders>
            <w:vAlign w:val="center"/>
          </w:tcPr>
          <w:p w14:paraId="778CF338" w14:textId="77777777" w:rsidR="00422B98" w:rsidRPr="00422B98" w:rsidRDefault="00422B98" w:rsidP="00407C87">
            <w:pPr>
              <w:spacing w:line="320" w:lineRule="exact"/>
              <w:jc w:val="center"/>
              <w:rPr>
                <w:sz w:val="18"/>
                <w:szCs w:val="18"/>
              </w:rPr>
            </w:pPr>
            <w:r w:rsidRPr="00422B98">
              <w:rPr>
                <w:sz w:val="18"/>
                <w:szCs w:val="18"/>
              </w:rPr>
              <w:t>29.682</w:t>
            </w:r>
          </w:p>
        </w:tc>
        <w:tc>
          <w:tcPr>
            <w:tcW w:w="0" w:type="auto"/>
            <w:vMerge/>
            <w:tcBorders>
              <w:bottom w:val="single" w:sz="4" w:space="0" w:color="auto"/>
            </w:tcBorders>
            <w:vAlign w:val="center"/>
          </w:tcPr>
          <w:p w14:paraId="755B91D8"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54F6F7E4" w14:textId="77777777" w:rsidR="00422B98" w:rsidRPr="00422B98" w:rsidRDefault="00422B98" w:rsidP="00407C87">
            <w:pPr>
              <w:spacing w:line="320" w:lineRule="exact"/>
              <w:jc w:val="center"/>
              <w:rPr>
                <w:sz w:val="18"/>
                <w:szCs w:val="18"/>
              </w:rPr>
            </w:pPr>
          </w:p>
        </w:tc>
      </w:tr>
      <w:tr w:rsidR="00422B98" w:rsidRPr="00422B98" w14:paraId="080F8028" w14:textId="77777777" w:rsidTr="00C07A82">
        <w:trPr>
          <w:trHeight w:val="227"/>
        </w:trPr>
        <w:tc>
          <w:tcPr>
            <w:tcW w:w="0" w:type="auto"/>
            <w:vMerge/>
            <w:tcBorders>
              <w:bottom w:val="single" w:sz="4" w:space="0" w:color="auto"/>
            </w:tcBorders>
            <w:vAlign w:val="center"/>
          </w:tcPr>
          <w:p w14:paraId="48245FA8"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36768A52" w14:textId="77777777" w:rsidR="00422B98" w:rsidRPr="00422B98" w:rsidRDefault="00422B98" w:rsidP="00407C87">
            <w:pPr>
              <w:spacing w:line="320" w:lineRule="exact"/>
              <w:jc w:val="center"/>
              <w:rPr>
                <w:sz w:val="18"/>
                <w:szCs w:val="18"/>
              </w:rPr>
            </w:pPr>
          </w:p>
        </w:tc>
        <w:tc>
          <w:tcPr>
            <w:tcW w:w="0" w:type="auto"/>
            <w:vAlign w:val="center"/>
          </w:tcPr>
          <w:p w14:paraId="7CA540E7" w14:textId="77777777" w:rsidR="00422B98" w:rsidRPr="00422B98" w:rsidRDefault="00422B98" w:rsidP="00407C87">
            <w:pPr>
              <w:spacing w:line="320" w:lineRule="exact"/>
              <w:jc w:val="center"/>
              <w:rPr>
                <w:sz w:val="18"/>
                <w:szCs w:val="18"/>
              </w:rPr>
            </w:pPr>
            <w:r w:rsidRPr="00422B98">
              <w:rPr>
                <w:sz w:val="18"/>
                <w:szCs w:val="18"/>
              </w:rPr>
              <w:t>0.4359</w:t>
            </w:r>
          </w:p>
        </w:tc>
        <w:tc>
          <w:tcPr>
            <w:tcW w:w="0" w:type="auto"/>
            <w:vMerge/>
            <w:tcBorders>
              <w:bottom w:val="single" w:sz="4" w:space="0" w:color="auto"/>
            </w:tcBorders>
            <w:vAlign w:val="center"/>
          </w:tcPr>
          <w:p w14:paraId="6AB7EB4E"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2CCB0640"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03BB82D8"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4B9757C8" w14:textId="77777777" w:rsidR="00422B98" w:rsidRPr="00422B98" w:rsidRDefault="00422B98" w:rsidP="00407C87">
            <w:pPr>
              <w:spacing w:line="320" w:lineRule="exact"/>
              <w:jc w:val="center"/>
              <w:rPr>
                <w:sz w:val="18"/>
                <w:szCs w:val="18"/>
              </w:rPr>
            </w:pPr>
          </w:p>
        </w:tc>
      </w:tr>
      <w:tr w:rsidR="00422B98" w:rsidRPr="00422B98" w14:paraId="32917487" w14:textId="77777777" w:rsidTr="00C07A82">
        <w:trPr>
          <w:trHeight w:val="227"/>
        </w:trPr>
        <w:tc>
          <w:tcPr>
            <w:tcW w:w="0" w:type="auto"/>
            <w:vMerge/>
            <w:tcBorders>
              <w:bottom w:val="single" w:sz="4" w:space="0" w:color="auto"/>
            </w:tcBorders>
            <w:vAlign w:val="center"/>
          </w:tcPr>
          <w:p w14:paraId="55B4329B"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7D06475C" w14:textId="77777777" w:rsidR="00422B98" w:rsidRPr="00422B98" w:rsidRDefault="00422B98" w:rsidP="00407C87">
            <w:pPr>
              <w:spacing w:line="320" w:lineRule="exact"/>
              <w:jc w:val="center"/>
              <w:rPr>
                <w:sz w:val="18"/>
                <w:szCs w:val="18"/>
              </w:rPr>
            </w:pPr>
          </w:p>
        </w:tc>
        <w:tc>
          <w:tcPr>
            <w:tcW w:w="0" w:type="auto"/>
            <w:tcBorders>
              <w:bottom w:val="single" w:sz="4" w:space="0" w:color="auto"/>
            </w:tcBorders>
            <w:vAlign w:val="center"/>
          </w:tcPr>
          <w:p w14:paraId="74EC9991" w14:textId="77777777" w:rsidR="00422B98" w:rsidRPr="00422B98" w:rsidRDefault="00422B98" w:rsidP="00407C87">
            <w:pPr>
              <w:spacing w:line="320" w:lineRule="exact"/>
              <w:jc w:val="center"/>
              <w:rPr>
                <w:sz w:val="18"/>
                <w:szCs w:val="18"/>
              </w:rPr>
            </w:pPr>
            <w:r w:rsidRPr="00422B98">
              <w:rPr>
                <w:sz w:val="18"/>
                <w:szCs w:val="18"/>
              </w:rPr>
              <w:t>0.4375</w:t>
            </w:r>
          </w:p>
        </w:tc>
        <w:tc>
          <w:tcPr>
            <w:tcW w:w="0" w:type="auto"/>
            <w:vMerge/>
            <w:tcBorders>
              <w:bottom w:val="single" w:sz="4" w:space="0" w:color="auto"/>
            </w:tcBorders>
            <w:vAlign w:val="center"/>
          </w:tcPr>
          <w:p w14:paraId="33CC4756"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3ED98B3B"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3ABF19DF" w14:textId="77777777" w:rsidR="00422B98" w:rsidRPr="00422B98" w:rsidRDefault="00422B98" w:rsidP="00407C87">
            <w:pPr>
              <w:spacing w:line="320" w:lineRule="exact"/>
              <w:jc w:val="center"/>
              <w:rPr>
                <w:sz w:val="18"/>
                <w:szCs w:val="18"/>
              </w:rPr>
            </w:pPr>
          </w:p>
        </w:tc>
        <w:tc>
          <w:tcPr>
            <w:tcW w:w="0" w:type="auto"/>
            <w:vMerge/>
            <w:tcBorders>
              <w:bottom w:val="single" w:sz="4" w:space="0" w:color="auto"/>
            </w:tcBorders>
            <w:vAlign w:val="center"/>
          </w:tcPr>
          <w:p w14:paraId="505045C5" w14:textId="77777777" w:rsidR="00422B98" w:rsidRPr="00422B98" w:rsidRDefault="00422B98" w:rsidP="00407C87">
            <w:pPr>
              <w:spacing w:line="320" w:lineRule="exact"/>
              <w:jc w:val="center"/>
              <w:rPr>
                <w:sz w:val="18"/>
                <w:szCs w:val="18"/>
              </w:rPr>
            </w:pPr>
          </w:p>
        </w:tc>
      </w:tr>
    </w:tbl>
    <w:p w14:paraId="11303058" w14:textId="77777777" w:rsidR="00422B98" w:rsidRDefault="00422B98" w:rsidP="00422B98">
      <w:pPr>
        <w:pBdr>
          <w:top w:val="nil"/>
          <w:left w:val="nil"/>
          <w:bottom w:val="nil"/>
          <w:right w:val="nil"/>
          <w:between w:val="nil"/>
        </w:pBdr>
        <w:ind w:firstLine="720"/>
        <w:jc w:val="both"/>
        <w:rPr>
          <w:color w:val="000000"/>
          <w:sz w:val="22"/>
          <w:szCs w:val="22"/>
        </w:rPr>
      </w:pPr>
    </w:p>
    <w:p w14:paraId="2BC477DB" w14:textId="77777777" w:rsidR="00C07A82" w:rsidRPr="00422B98" w:rsidRDefault="00C07A82" w:rsidP="00C07A82">
      <w:pPr>
        <w:pBdr>
          <w:top w:val="nil"/>
          <w:left w:val="nil"/>
          <w:bottom w:val="nil"/>
          <w:right w:val="nil"/>
          <w:between w:val="nil"/>
        </w:pBdr>
        <w:ind w:firstLine="720"/>
        <w:jc w:val="both"/>
        <w:rPr>
          <w:color w:val="000000"/>
          <w:sz w:val="22"/>
          <w:szCs w:val="22"/>
        </w:rPr>
      </w:pPr>
      <w:r w:rsidRPr="00422B98">
        <w:rPr>
          <w:color w:val="000000"/>
          <w:sz w:val="22"/>
          <w:szCs w:val="22"/>
        </w:rPr>
        <w:t>A limitation of the present study is the absence of a positive control using commercially available synthetic antioxidants such as butylated hydroxytoluene (BHT) or butylated hydroxyanisole (BHA). Consequently, although tamarind leaf extract demonstrated beneficial effects on the physicochemical stability of coconut oil, its performance cannot be directly compared with widely used synthetic antioxidants under identical experimental conditions. Therefore, the present findings should be interpreted as evidence of the antioxidant potential of tamarind leaf extract rather than definitive proof that it can replace synthetic antioxidants in edible oil preservation. Future studies incorporating BHT or BHA as positive controls are recommended to enable a more rigorous comparative evaluation of antioxidant efficacy.</w:t>
      </w:r>
    </w:p>
    <w:p w14:paraId="0F07729C" w14:textId="77777777" w:rsidR="00C07A82" w:rsidRPr="00422B98" w:rsidRDefault="00C07A82" w:rsidP="00422B98">
      <w:pPr>
        <w:pBdr>
          <w:top w:val="nil"/>
          <w:left w:val="nil"/>
          <w:bottom w:val="nil"/>
          <w:right w:val="nil"/>
          <w:between w:val="nil"/>
        </w:pBdr>
        <w:ind w:firstLine="720"/>
        <w:jc w:val="both"/>
        <w:rPr>
          <w:color w:val="000000"/>
          <w:sz w:val="22"/>
          <w:szCs w:val="22"/>
        </w:rPr>
      </w:pPr>
    </w:p>
    <w:p w14:paraId="00BB5685" w14:textId="77777777" w:rsidR="00422B98" w:rsidRPr="00422B98" w:rsidRDefault="00422B98" w:rsidP="00422B98">
      <w:pPr>
        <w:pBdr>
          <w:top w:val="nil"/>
          <w:left w:val="nil"/>
          <w:bottom w:val="nil"/>
          <w:right w:val="nil"/>
          <w:between w:val="nil"/>
        </w:pBdr>
        <w:jc w:val="both"/>
        <w:rPr>
          <w:b/>
          <w:bCs/>
          <w:color w:val="000000"/>
          <w:sz w:val="22"/>
          <w:szCs w:val="22"/>
        </w:rPr>
      </w:pPr>
      <w:r w:rsidRPr="00422B98">
        <w:rPr>
          <w:b/>
          <w:bCs/>
          <w:color w:val="000000"/>
          <w:sz w:val="22"/>
          <w:szCs w:val="22"/>
        </w:rPr>
        <w:t>Effect of Tamarind Leaf Extract Concentration on Coconut Oil Quality</w:t>
      </w:r>
    </w:p>
    <w:p w14:paraId="2DF2E8C9"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color w:val="000000"/>
          <w:sz w:val="22"/>
          <w:szCs w:val="22"/>
        </w:rPr>
        <w:t>The addition of tamarind leaf ethanol extract significantly influenced the physicochemical quality of coconut oil after storage. Coconut oil samples containing 1%, 2%, and 3% extract concentrations were compared with a control sample without antioxidant addition (Table 3).</w:t>
      </w:r>
    </w:p>
    <w:p w14:paraId="5AD930E6"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5935D0A4" w14:textId="77777777" w:rsidR="00422B98" w:rsidRPr="00422B98" w:rsidRDefault="00422B98" w:rsidP="00DD0AC8">
      <w:pPr>
        <w:jc w:val="center"/>
        <w:rPr>
          <w:color w:val="000000"/>
          <w:sz w:val="22"/>
          <w:szCs w:val="22"/>
        </w:rPr>
      </w:pPr>
      <w:r w:rsidRPr="00422B98">
        <w:rPr>
          <w:b/>
          <w:bCs/>
          <w:sz w:val="18"/>
          <w:szCs w:val="18"/>
        </w:rPr>
        <w:t>Table 3.</w:t>
      </w:r>
      <w:r w:rsidRPr="00422B98">
        <w:rPr>
          <w:sz w:val="18"/>
          <w:szCs w:val="18"/>
        </w:rPr>
        <w:t xml:space="preserve"> Effect of Various Concentrations of Tamarind Leaf Ethanol Extract (</w:t>
      </w:r>
      <w:r w:rsidRPr="00422B98">
        <w:rPr>
          <w:i/>
          <w:iCs/>
          <w:sz w:val="18"/>
          <w:szCs w:val="18"/>
        </w:rPr>
        <w:t xml:space="preserve">Tamarindus indica </w:t>
      </w:r>
      <w:r w:rsidRPr="00422B98">
        <w:rPr>
          <w:sz w:val="18"/>
          <w:szCs w:val="18"/>
        </w:rPr>
        <w:t>L) on Coconut Oil Quality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1228"/>
        <w:gridCol w:w="1185"/>
        <w:gridCol w:w="1276"/>
        <w:gridCol w:w="1485"/>
        <w:gridCol w:w="1485"/>
      </w:tblGrid>
      <w:tr w:rsidR="00422B98" w:rsidRPr="00422B98" w14:paraId="77D281DE" w14:textId="77777777" w:rsidTr="00407C87">
        <w:trPr>
          <w:jc w:val="center"/>
        </w:trPr>
        <w:tc>
          <w:tcPr>
            <w:tcW w:w="1272" w:type="dxa"/>
            <w:tcBorders>
              <w:top w:val="single" w:sz="4" w:space="0" w:color="auto"/>
              <w:bottom w:val="single" w:sz="4" w:space="0" w:color="auto"/>
            </w:tcBorders>
            <w:vAlign w:val="center"/>
          </w:tcPr>
          <w:p w14:paraId="00920716" w14:textId="77777777" w:rsidR="00422B98" w:rsidRPr="00422B98" w:rsidRDefault="00422B98" w:rsidP="00407C87">
            <w:pPr>
              <w:jc w:val="center"/>
              <w:rPr>
                <w:b/>
                <w:bCs/>
                <w:sz w:val="18"/>
                <w:szCs w:val="18"/>
              </w:rPr>
            </w:pPr>
            <w:r w:rsidRPr="00422B98">
              <w:rPr>
                <w:b/>
                <w:bCs/>
                <w:sz w:val="18"/>
                <w:szCs w:val="18"/>
              </w:rPr>
              <w:t>Coconut Oil Quality Test</w:t>
            </w:r>
          </w:p>
        </w:tc>
        <w:tc>
          <w:tcPr>
            <w:tcW w:w="1228" w:type="dxa"/>
            <w:tcBorders>
              <w:top w:val="single" w:sz="4" w:space="0" w:color="auto"/>
              <w:bottom w:val="single" w:sz="4" w:space="0" w:color="auto"/>
            </w:tcBorders>
            <w:vAlign w:val="center"/>
          </w:tcPr>
          <w:p w14:paraId="7D2692DB" w14:textId="77777777" w:rsidR="00422B98" w:rsidRPr="00422B98" w:rsidRDefault="00422B98" w:rsidP="00407C87">
            <w:pPr>
              <w:jc w:val="center"/>
              <w:rPr>
                <w:b/>
                <w:bCs/>
                <w:sz w:val="18"/>
                <w:szCs w:val="18"/>
              </w:rPr>
            </w:pPr>
            <w:r w:rsidRPr="00422B98">
              <w:rPr>
                <w:b/>
                <w:bCs/>
                <w:sz w:val="18"/>
                <w:szCs w:val="18"/>
              </w:rPr>
              <w:t>Control</w:t>
            </w:r>
          </w:p>
        </w:tc>
        <w:tc>
          <w:tcPr>
            <w:tcW w:w="1185" w:type="dxa"/>
            <w:tcBorders>
              <w:top w:val="single" w:sz="4" w:space="0" w:color="auto"/>
              <w:bottom w:val="single" w:sz="4" w:space="0" w:color="auto"/>
            </w:tcBorders>
            <w:vAlign w:val="center"/>
          </w:tcPr>
          <w:p w14:paraId="4BDCE0C8" w14:textId="77777777" w:rsidR="00422B98" w:rsidRPr="00422B98" w:rsidRDefault="00422B98" w:rsidP="00407C87">
            <w:pPr>
              <w:jc w:val="center"/>
              <w:rPr>
                <w:b/>
                <w:bCs/>
                <w:sz w:val="18"/>
                <w:szCs w:val="18"/>
              </w:rPr>
            </w:pPr>
            <w:r w:rsidRPr="00422B98">
              <w:rPr>
                <w:b/>
                <w:bCs/>
                <w:sz w:val="18"/>
                <w:szCs w:val="18"/>
              </w:rPr>
              <w:t>1%</w:t>
            </w:r>
          </w:p>
        </w:tc>
        <w:tc>
          <w:tcPr>
            <w:tcW w:w="1276" w:type="dxa"/>
            <w:tcBorders>
              <w:top w:val="single" w:sz="4" w:space="0" w:color="auto"/>
              <w:bottom w:val="single" w:sz="4" w:space="0" w:color="auto"/>
            </w:tcBorders>
            <w:vAlign w:val="center"/>
          </w:tcPr>
          <w:p w14:paraId="73A83C62" w14:textId="77777777" w:rsidR="00422B98" w:rsidRPr="00422B98" w:rsidRDefault="00422B98" w:rsidP="00407C87">
            <w:pPr>
              <w:jc w:val="center"/>
              <w:rPr>
                <w:b/>
                <w:bCs/>
                <w:sz w:val="18"/>
                <w:szCs w:val="18"/>
              </w:rPr>
            </w:pPr>
            <w:r w:rsidRPr="00422B98">
              <w:rPr>
                <w:b/>
                <w:bCs/>
                <w:sz w:val="18"/>
                <w:szCs w:val="18"/>
              </w:rPr>
              <w:t>2%</w:t>
            </w:r>
          </w:p>
        </w:tc>
        <w:tc>
          <w:tcPr>
            <w:tcW w:w="1485" w:type="dxa"/>
            <w:tcBorders>
              <w:top w:val="single" w:sz="4" w:space="0" w:color="auto"/>
              <w:bottom w:val="single" w:sz="4" w:space="0" w:color="auto"/>
            </w:tcBorders>
            <w:vAlign w:val="center"/>
          </w:tcPr>
          <w:p w14:paraId="182172BE" w14:textId="77777777" w:rsidR="00422B98" w:rsidRPr="00422B98" w:rsidRDefault="00422B98" w:rsidP="00407C87">
            <w:pPr>
              <w:jc w:val="center"/>
              <w:rPr>
                <w:b/>
                <w:bCs/>
                <w:sz w:val="18"/>
                <w:szCs w:val="18"/>
              </w:rPr>
            </w:pPr>
            <w:r w:rsidRPr="00422B98">
              <w:rPr>
                <w:b/>
                <w:bCs/>
                <w:sz w:val="18"/>
                <w:szCs w:val="18"/>
              </w:rPr>
              <w:t>3%</w:t>
            </w:r>
          </w:p>
        </w:tc>
        <w:tc>
          <w:tcPr>
            <w:tcW w:w="1485" w:type="dxa"/>
            <w:tcBorders>
              <w:top w:val="single" w:sz="4" w:space="0" w:color="auto"/>
              <w:bottom w:val="single" w:sz="4" w:space="0" w:color="auto"/>
            </w:tcBorders>
          </w:tcPr>
          <w:p w14:paraId="563B8F4E" w14:textId="77777777" w:rsidR="00422B98" w:rsidRPr="00422B98" w:rsidRDefault="00422B98" w:rsidP="00407C87">
            <w:pPr>
              <w:jc w:val="center"/>
              <w:rPr>
                <w:b/>
                <w:bCs/>
                <w:sz w:val="18"/>
                <w:szCs w:val="18"/>
              </w:rPr>
            </w:pPr>
            <w:r w:rsidRPr="00422B98">
              <w:rPr>
                <w:b/>
                <w:bCs/>
                <w:sz w:val="18"/>
                <w:szCs w:val="18"/>
              </w:rPr>
              <w:t>Reference</w:t>
            </w:r>
          </w:p>
          <w:p w14:paraId="45F58A96" w14:textId="77777777" w:rsidR="00422B98" w:rsidRPr="00422B98" w:rsidRDefault="00422B98" w:rsidP="00407C87">
            <w:pPr>
              <w:jc w:val="center"/>
              <w:rPr>
                <w:b/>
                <w:bCs/>
                <w:sz w:val="18"/>
                <w:szCs w:val="18"/>
              </w:rPr>
            </w:pPr>
            <w:r w:rsidRPr="00422B98">
              <w:rPr>
                <w:b/>
                <w:bCs/>
                <w:sz w:val="18"/>
                <w:szCs w:val="18"/>
              </w:rPr>
              <w:t>Standard</w:t>
            </w:r>
          </w:p>
        </w:tc>
      </w:tr>
      <w:tr w:rsidR="00422B98" w:rsidRPr="00422B98" w14:paraId="0FA6238A" w14:textId="77777777" w:rsidTr="00407C87">
        <w:trPr>
          <w:trHeight w:val="567"/>
          <w:jc w:val="center"/>
        </w:trPr>
        <w:tc>
          <w:tcPr>
            <w:tcW w:w="1272" w:type="dxa"/>
            <w:tcBorders>
              <w:top w:val="single" w:sz="4" w:space="0" w:color="auto"/>
            </w:tcBorders>
            <w:vAlign w:val="center"/>
          </w:tcPr>
          <w:p w14:paraId="61CD18A2" w14:textId="77777777" w:rsidR="00422B98" w:rsidRPr="00422B98" w:rsidRDefault="00422B98" w:rsidP="00407C87">
            <w:pPr>
              <w:jc w:val="center"/>
              <w:rPr>
                <w:sz w:val="18"/>
                <w:szCs w:val="18"/>
              </w:rPr>
            </w:pPr>
            <w:r w:rsidRPr="00422B98">
              <w:rPr>
                <w:sz w:val="18"/>
                <w:szCs w:val="18"/>
              </w:rPr>
              <w:t>Moisture Content (%)</w:t>
            </w:r>
          </w:p>
        </w:tc>
        <w:tc>
          <w:tcPr>
            <w:tcW w:w="1228" w:type="dxa"/>
            <w:tcBorders>
              <w:top w:val="single" w:sz="4" w:space="0" w:color="auto"/>
            </w:tcBorders>
            <w:vAlign w:val="center"/>
          </w:tcPr>
          <w:p w14:paraId="1436E9C7" w14:textId="77777777" w:rsidR="00422B98" w:rsidRPr="00422B98" w:rsidRDefault="00422B98" w:rsidP="00407C87">
            <w:pPr>
              <w:jc w:val="center"/>
              <w:rPr>
                <w:sz w:val="18"/>
                <w:szCs w:val="18"/>
                <w:vertAlign w:val="superscript"/>
              </w:rPr>
            </w:pPr>
            <w:r w:rsidRPr="00422B98">
              <w:rPr>
                <w:sz w:val="18"/>
                <w:szCs w:val="18"/>
              </w:rPr>
              <w:t>1.09±0.07</w:t>
            </w:r>
            <w:r w:rsidRPr="00422B98">
              <w:rPr>
                <w:sz w:val="18"/>
                <w:szCs w:val="18"/>
                <w:vertAlign w:val="superscript"/>
              </w:rPr>
              <w:t>a</w:t>
            </w:r>
          </w:p>
        </w:tc>
        <w:tc>
          <w:tcPr>
            <w:tcW w:w="1185" w:type="dxa"/>
            <w:tcBorders>
              <w:top w:val="single" w:sz="4" w:space="0" w:color="auto"/>
            </w:tcBorders>
            <w:vAlign w:val="center"/>
          </w:tcPr>
          <w:p w14:paraId="19B3327D" w14:textId="77777777" w:rsidR="00422B98" w:rsidRPr="00422B98" w:rsidRDefault="00422B98" w:rsidP="00407C87">
            <w:pPr>
              <w:jc w:val="center"/>
              <w:rPr>
                <w:sz w:val="18"/>
                <w:szCs w:val="18"/>
                <w:vertAlign w:val="superscript"/>
              </w:rPr>
            </w:pPr>
            <w:r w:rsidRPr="00422B98">
              <w:rPr>
                <w:sz w:val="18"/>
                <w:szCs w:val="18"/>
              </w:rPr>
              <w:t>0.68±0.02</w:t>
            </w:r>
            <w:r w:rsidRPr="00422B98">
              <w:rPr>
                <w:sz w:val="18"/>
                <w:szCs w:val="18"/>
                <w:vertAlign w:val="superscript"/>
              </w:rPr>
              <w:t>b</w:t>
            </w:r>
          </w:p>
        </w:tc>
        <w:tc>
          <w:tcPr>
            <w:tcW w:w="1276" w:type="dxa"/>
            <w:tcBorders>
              <w:top w:val="single" w:sz="4" w:space="0" w:color="auto"/>
            </w:tcBorders>
            <w:vAlign w:val="center"/>
          </w:tcPr>
          <w:p w14:paraId="0AA4ABEC" w14:textId="77777777" w:rsidR="00422B98" w:rsidRPr="00422B98" w:rsidRDefault="00422B98" w:rsidP="00407C87">
            <w:pPr>
              <w:ind w:right="-149"/>
              <w:jc w:val="center"/>
              <w:rPr>
                <w:sz w:val="18"/>
                <w:szCs w:val="18"/>
                <w:vertAlign w:val="superscript"/>
              </w:rPr>
            </w:pPr>
            <w:r w:rsidRPr="00422B98">
              <w:rPr>
                <w:sz w:val="18"/>
                <w:szCs w:val="18"/>
              </w:rPr>
              <w:t>0.46±0.02</w:t>
            </w:r>
            <w:r w:rsidRPr="00422B98">
              <w:rPr>
                <w:sz w:val="18"/>
                <w:szCs w:val="18"/>
                <w:vertAlign w:val="superscript"/>
              </w:rPr>
              <w:t>c</w:t>
            </w:r>
          </w:p>
        </w:tc>
        <w:tc>
          <w:tcPr>
            <w:tcW w:w="1485" w:type="dxa"/>
            <w:tcBorders>
              <w:top w:val="single" w:sz="4" w:space="0" w:color="auto"/>
            </w:tcBorders>
            <w:vAlign w:val="center"/>
          </w:tcPr>
          <w:p w14:paraId="6A642D49" w14:textId="77777777" w:rsidR="00422B98" w:rsidRPr="00422B98" w:rsidRDefault="00422B98" w:rsidP="00407C87">
            <w:pPr>
              <w:jc w:val="center"/>
              <w:rPr>
                <w:sz w:val="18"/>
                <w:szCs w:val="18"/>
                <w:vertAlign w:val="superscript"/>
              </w:rPr>
            </w:pPr>
            <w:r w:rsidRPr="00422B98">
              <w:rPr>
                <w:sz w:val="18"/>
                <w:szCs w:val="18"/>
              </w:rPr>
              <w:t>0.44±0.03</w:t>
            </w:r>
            <w:r w:rsidRPr="00422B98">
              <w:rPr>
                <w:sz w:val="18"/>
                <w:szCs w:val="18"/>
                <w:vertAlign w:val="superscript"/>
              </w:rPr>
              <w:t>c</w:t>
            </w:r>
          </w:p>
        </w:tc>
        <w:tc>
          <w:tcPr>
            <w:tcW w:w="1485" w:type="dxa"/>
            <w:tcBorders>
              <w:top w:val="single" w:sz="4" w:space="0" w:color="auto"/>
            </w:tcBorders>
          </w:tcPr>
          <w:p w14:paraId="202A3E56" w14:textId="77777777" w:rsidR="00422B98" w:rsidRPr="00422B98" w:rsidRDefault="00422B98" w:rsidP="00407C87">
            <w:pPr>
              <w:jc w:val="center"/>
              <w:rPr>
                <w:sz w:val="18"/>
                <w:szCs w:val="18"/>
              </w:rPr>
            </w:pPr>
            <w:r w:rsidRPr="00422B98">
              <w:rPr>
                <w:sz w:val="18"/>
                <w:szCs w:val="18"/>
              </w:rPr>
              <w:t>SNI 3741:2013</w:t>
            </w:r>
          </w:p>
        </w:tc>
      </w:tr>
      <w:tr w:rsidR="00422B98" w:rsidRPr="00422B98" w14:paraId="6B4C18B4" w14:textId="77777777" w:rsidTr="00407C87">
        <w:trPr>
          <w:trHeight w:val="567"/>
          <w:jc w:val="center"/>
        </w:trPr>
        <w:tc>
          <w:tcPr>
            <w:tcW w:w="1272" w:type="dxa"/>
            <w:vAlign w:val="center"/>
          </w:tcPr>
          <w:p w14:paraId="73AE24BE" w14:textId="77777777" w:rsidR="00422B98" w:rsidRPr="00422B98" w:rsidRDefault="00422B98" w:rsidP="00407C87">
            <w:pPr>
              <w:jc w:val="center"/>
              <w:rPr>
                <w:sz w:val="18"/>
                <w:szCs w:val="18"/>
              </w:rPr>
            </w:pPr>
            <w:r w:rsidRPr="00422B98">
              <w:rPr>
                <w:sz w:val="18"/>
                <w:szCs w:val="18"/>
              </w:rPr>
              <w:t>Peroxide value (</w:t>
            </w:r>
            <w:proofErr w:type="spellStart"/>
            <w:r w:rsidRPr="00422B98">
              <w:rPr>
                <w:sz w:val="18"/>
                <w:szCs w:val="18"/>
              </w:rPr>
              <w:t>meq</w:t>
            </w:r>
            <w:proofErr w:type="spellEnd"/>
            <w:r w:rsidRPr="00422B98">
              <w:rPr>
                <w:sz w:val="18"/>
                <w:szCs w:val="18"/>
              </w:rPr>
              <w:t>/g)</w:t>
            </w:r>
          </w:p>
        </w:tc>
        <w:tc>
          <w:tcPr>
            <w:tcW w:w="1228" w:type="dxa"/>
            <w:vAlign w:val="center"/>
          </w:tcPr>
          <w:p w14:paraId="7AC49564" w14:textId="77777777" w:rsidR="00422B98" w:rsidRPr="00422B98" w:rsidRDefault="00422B98" w:rsidP="00407C87">
            <w:pPr>
              <w:jc w:val="center"/>
              <w:rPr>
                <w:sz w:val="18"/>
                <w:szCs w:val="18"/>
              </w:rPr>
            </w:pPr>
            <w:r w:rsidRPr="00422B98">
              <w:rPr>
                <w:sz w:val="18"/>
                <w:szCs w:val="18"/>
              </w:rPr>
              <w:t>0.43±0.01</w:t>
            </w:r>
            <w:r w:rsidRPr="00422B98">
              <w:rPr>
                <w:sz w:val="18"/>
                <w:szCs w:val="18"/>
                <w:vertAlign w:val="superscript"/>
              </w:rPr>
              <w:t>a</w:t>
            </w:r>
          </w:p>
        </w:tc>
        <w:tc>
          <w:tcPr>
            <w:tcW w:w="1185" w:type="dxa"/>
            <w:vAlign w:val="center"/>
          </w:tcPr>
          <w:p w14:paraId="62A40DA5" w14:textId="77777777" w:rsidR="00422B98" w:rsidRPr="00422B98" w:rsidRDefault="00422B98" w:rsidP="00407C87">
            <w:pPr>
              <w:jc w:val="center"/>
              <w:rPr>
                <w:sz w:val="18"/>
                <w:szCs w:val="18"/>
              </w:rPr>
            </w:pPr>
            <w:r w:rsidRPr="00422B98">
              <w:rPr>
                <w:sz w:val="18"/>
                <w:szCs w:val="18"/>
              </w:rPr>
              <w:t>0.39±0.00</w:t>
            </w:r>
            <w:r w:rsidRPr="00422B98">
              <w:rPr>
                <w:sz w:val="18"/>
                <w:szCs w:val="18"/>
                <w:vertAlign w:val="superscript"/>
              </w:rPr>
              <w:t>a</w:t>
            </w:r>
          </w:p>
        </w:tc>
        <w:tc>
          <w:tcPr>
            <w:tcW w:w="1276" w:type="dxa"/>
            <w:vAlign w:val="center"/>
          </w:tcPr>
          <w:p w14:paraId="4AAC5792" w14:textId="77777777" w:rsidR="00422B98" w:rsidRPr="00422B98" w:rsidRDefault="00422B98" w:rsidP="00407C87">
            <w:pPr>
              <w:jc w:val="center"/>
              <w:rPr>
                <w:sz w:val="18"/>
                <w:szCs w:val="18"/>
              </w:rPr>
            </w:pPr>
            <w:r w:rsidRPr="00422B98">
              <w:rPr>
                <w:sz w:val="18"/>
                <w:szCs w:val="18"/>
              </w:rPr>
              <w:t>0.33±0.04</w:t>
            </w:r>
            <w:r w:rsidRPr="00422B98">
              <w:rPr>
                <w:sz w:val="18"/>
                <w:szCs w:val="18"/>
                <w:vertAlign w:val="superscript"/>
              </w:rPr>
              <w:t>b</w:t>
            </w:r>
          </w:p>
        </w:tc>
        <w:tc>
          <w:tcPr>
            <w:tcW w:w="1485" w:type="dxa"/>
            <w:vAlign w:val="center"/>
          </w:tcPr>
          <w:p w14:paraId="50A853B4" w14:textId="77777777" w:rsidR="00422B98" w:rsidRPr="00422B98" w:rsidRDefault="00422B98" w:rsidP="00407C87">
            <w:pPr>
              <w:jc w:val="center"/>
              <w:rPr>
                <w:sz w:val="18"/>
                <w:szCs w:val="18"/>
              </w:rPr>
            </w:pPr>
            <w:r w:rsidRPr="00422B98">
              <w:rPr>
                <w:sz w:val="18"/>
                <w:szCs w:val="18"/>
              </w:rPr>
              <w:t>0.22±0.01</w:t>
            </w:r>
            <w:r w:rsidRPr="00422B98">
              <w:rPr>
                <w:sz w:val="18"/>
                <w:szCs w:val="18"/>
                <w:vertAlign w:val="superscript"/>
              </w:rPr>
              <w:t>c</w:t>
            </w:r>
          </w:p>
        </w:tc>
        <w:tc>
          <w:tcPr>
            <w:tcW w:w="1485" w:type="dxa"/>
          </w:tcPr>
          <w:p w14:paraId="64A00E29" w14:textId="77777777" w:rsidR="00422B98" w:rsidRPr="00422B98" w:rsidRDefault="00422B98" w:rsidP="00407C87">
            <w:pPr>
              <w:jc w:val="center"/>
              <w:rPr>
                <w:sz w:val="18"/>
                <w:szCs w:val="18"/>
              </w:rPr>
            </w:pPr>
            <w:r w:rsidRPr="00422B98">
              <w:rPr>
                <w:sz w:val="18"/>
                <w:szCs w:val="18"/>
              </w:rPr>
              <w:t>SNI 3741:2013</w:t>
            </w:r>
          </w:p>
        </w:tc>
      </w:tr>
      <w:tr w:rsidR="00422B98" w:rsidRPr="00422B98" w14:paraId="5C7F5E8C" w14:textId="77777777" w:rsidTr="00407C87">
        <w:trPr>
          <w:trHeight w:val="567"/>
          <w:jc w:val="center"/>
        </w:trPr>
        <w:tc>
          <w:tcPr>
            <w:tcW w:w="1272" w:type="dxa"/>
            <w:vAlign w:val="center"/>
          </w:tcPr>
          <w:p w14:paraId="615C9B1D" w14:textId="77777777" w:rsidR="00422B98" w:rsidRPr="00422B98" w:rsidRDefault="00422B98" w:rsidP="00407C87">
            <w:pPr>
              <w:jc w:val="center"/>
              <w:rPr>
                <w:sz w:val="18"/>
                <w:szCs w:val="18"/>
              </w:rPr>
            </w:pPr>
            <w:r w:rsidRPr="00422B98">
              <w:rPr>
                <w:sz w:val="18"/>
                <w:szCs w:val="18"/>
              </w:rPr>
              <w:t>Free fatty acids (%)</w:t>
            </w:r>
          </w:p>
        </w:tc>
        <w:tc>
          <w:tcPr>
            <w:tcW w:w="1228" w:type="dxa"/>
            <w:vAlign w:val="center"/>
          </w:tcPr>
          <w:p w14:paraId="38B78CC4" w14:textId="77777777" w:rsidR="00422B98" w:rsidRPr="00422B98" w:rsidRDefault="00422B98" w:rsidP="00407C87">
            <w:pPr>
              <w:jc w:val="center"/>
              <w:rPr>
                <w:color w:val="FF0000"/>
                <w:sz w:val="18"/>
                <w:szCs w:val="18"/>
              </w:rPr>
            </w:pPr>
            <w:r w:rsidRPr="00422B98">
              <w:rPr>
                <w:sz w:val="18"/>
                <w:szCs w:val="18"/>
              </w:rPr>
              <w:t>3.29±0.21</w:t>
            </w:r>
            <w:r w:rsidRPr="00422B98">
              <w:rPr>
                <w:sz w:val="18"/>
                <w:szCs w:val="18"/>
                <w:vertAlign w:val="superscript"/>
              </w:rPr>
              <w:t>a</w:t>
            </w:r>
          </w:p>
        </w:tc>
        <w:tc>
          <w:tcPr>
            <w:tcW w:w="1185" w:type="dxa"/>
            <w:vAlign w:val="center"/>
          </w:tcPr>
          <w:p w14:paraId="749FFDE3" w14:textId="77777777" w:rsidR="00422B98" w:rsidRPr="00422B98" w:rsidRDefault="00422B98" w:rsidP="00407C87">
            <w:pPr>
              <w:jc w:val="center"/>
              <w:rPr>
                <w:color w:val="FF0000"/>
                <w:sz w:val="18"/>
                <w:szCs w:val="18"/>
              </w:rPr>
            </w:pPr>
            <w:r w:rsidRPr="00422B98">
              <w:rPr>
                <w:sz w:val="18"/>
                <w:szCs w:val="18"/>
              </w:rPr>
              <w:t>2.978±0.27</w:t>
            </w:r>
            <w:r w:rsidRPr="00422B98">
              <w:rPr>
                <w:sz w:val="18"/>
                <w:szCs w:val="18"/>
                <w:vertAlign w:val="superscript"/>
              </w:rPr>
              <w:t>a</w:t>
            </w:r>
          </w:p>
        </w:tc>
        <w:tc>
          <w:tcPr>
            <w:tcW w:w="1276" w:type="dxa"/>
            <w:vAlign w:val="center"/>
          </w:tcPr>
          <w:p w14:paraId="38DBE0A1" w14:textId="77777777" w:rsidR="00422B98" w:rsidRPr="00422B98" w:rsidRDefault="00422B98" w:rsidP="00407C87">
            <w:pPr>
              <w:jc w:val="center"/>
              <w:rPr>
                <w:sz w:val="18"/>
                <w:szCs w:val="18"/>
              </w:rPr>
            </w:pPr>
            <w:r w:rsidRPr="00422B98">
              <w:rPr>
                <w:sz w:val="18"/>
                <w:szCs w:val="18"/>
              </w:rPr>
              <w:t>2.177±0.36</w:t>
            </w:r>
            <w:r w:rsidRPr="00422B98">
              <w:rPr>
                <w:sz w:val="18"/>
                <w:szCs w:val="18"/>
                <w:vertAlign w:val="superscript"/>
              </w:rPr>
              <w:t>b</w:t>
            </w:r>
          </w:p>
        </w:tc>
        <w:tc>
          <w:tcPr>
            <w:tcW w:w="1485" w:type="dxa"/>
            <w:vAlign w:val="center"/>
          </w:tcPr>
          <w:p w14:paraId="6645615E" w14:textId="77777777" w:rsidR="00422B98" w:rsidRPr="00422B98" w:rsidRDefault="00422B98" w:rsidP="00407C87">
            <w:pPr>
              <w:jc w:val="center"/>
              <w:rPr>
                <w:sz w:val="18"/>
                <w:szCs w:val="18"/>
              </w:rPr>
            </w:pPr>
            <w:r w:rsidRPr="00422B98">
              <w:rPr>
                <w:sz w:val="18"/>
                <w:szCs w:val="18"/>
              </w:rPr>
              <w:t>1.936±0.11</w:t>
            </w:r>
            <w:r w:rsidRPr="00422B98">
              <w:rPr>
                <w:sz w:val="18"/>
                <w:szCs w:val="18"/>
                <w:vertAlign w:val="superscript"/>
              </w:rPr>
              <w:t>b</w:t>
            </w:r>
          </w:p>
        </w:tc>
        <w:tc>
          <w:tcPr>
            <w:tcW w:w="1485" w:type="dxa"/>
          </w:tcPr>
          <w:p w14:paraId="0EB54E09" w14:textId="77777777" w:rsidR="00422B98" w:rsidRPr="00422B98" w:rsidRDefault="00422B98" w:rsidP="00407C87">
            <w:pPr>
              <w:jc w:val="center"/>
              <w:rPr>
                <w:sz w:val="18"/>
                <w:szCs w:val="18"/>
              </w:rPr>
            </w:pPr>
            <w:r w:rsidRPr="00422B98">
              <w:rPr>
                <w:sz w:val="18"/>
                <w:szCs w:val="18"/>
              </w:rPr>
              <w:t>SNI 3741:2013</w:t>
            </w:r>
          </w:p>
        </w:tc>
      </w:tr>
      <w:tr w:rsidR="00422B98" w:rsidRPr="00422B98" w14:paraId="4AEE6461" w14:textId="77777777" w:rsidTr="00407C87">
        <w:trPr>
          <w:trHeight w:val="567"/>
          <w:jc w:val="center"/>
        </w:trPr>
        <w:tc>
          <w:tcPr>
            <w:tcW w:w="1272" w:type="dxa"/>
            <w:tcBorders>
              <w:bottom w:val="single" w:sz="4" w:space="0" w:color="auto"/>
            </w:tcBorders>
            <w:vAlign w:val="center"/>
          </w:tcPr>
          <w:p w14:paraId="1D5B124E" w14:textId="77777777" w:rsidR="00422B98" w:rsidRPr="00422B98" w:rsidRDefault="00422B98" w:rsidP="00407C87">
            <w:pPr>
              <w:jc w:val="center"/>
              <w:rPr>
                <w:sz w:val="18"/>
                <w:szCs w:val="18"/>
              </w:rPr>
            </w:pPr>
            <w:r w:rsidRPr="00422B98">
              <w:rPr>
                <w:sz w:val="18"/>
                <w:szCs w:val="18"/>
              </w:rPr>
              <w:t>Saponification value (</w:t>
            </w:r>
            <w:proofErr w:type="spellStart"/>
            <w:r w:rsidRPr="00422B98">
              <w:rPr>
                <w:sz w:val="18"/>
                <w:szCs w:val="18"/>
              </w:rPr>
              <w:t>meq</w:t>
            </w:r>
            <w:proofErr w:type="spellEnd"/>
            <w:r w:rsidRPr="00422B98">
              <w:rPr>
                <w:sz w:val="18"/>
                <w:szCs w:val="18"/>
              </w:rPr>
              <w:t>/g)</w:t>
            </w:r>
          </w:p>
        </w:tc>
        <w:tc>
          <w:tcPr>
            <w:tcW w:w="1228" w:type="dxa"/>
            <w:tcBorders>
              <w:bottom w:val="single" w:sz="4" w:space="0" w:color="auto"/>
            </w:tcBorders>
            <w:vAlign w:val="center"/>
          </w:tcPr>
          <w:p w14:paraId="49D9EDF6" w14:textId="77777777" w:rsidR="00422B98" w:rsidRPr="00422B98" w:rsidRDefault="00422B98" w:rsidP="00407C87">
            <w:pPr>
              <w:jc w:val="center"/>
              <w:rPr>
                <w:sz w:val="18"/>
                <w:szCs w:val="18"/>
                <w:vertAlign w:val="superscript"/>
              </w:rPr>
            </w:pPr>
            <w:r w:rsidRPr="00422B98">
              <w:rPr>
                <w:sz w:val="18"/>
                <w:szCs w:val="18"/>
              </w:rPr>
              <w:t>191.05±3.10</w:t>
            </w:r>
            <w:r w:rsidRPr="00422B98">
              <w:rPr>
                <w:sz w:val="18"/>
                <w:szCs w:val="18"/>
                <w:vertAlign w:val="superscript"/>
              </w:rPr>
              <w:t>a</w:t>
            </w:r>
          </w:p>
        </w:tc>
        <w:tc>
          <w:tcPr>
            <w:tcW w:w="1185" w:type="dxa"/>
            <w:tcBorders>
              <w:bottom w:val="single" w:sz="4" w:space="0" w:color="auto"/>
            </w:tcBorders>
            <w:vAlign w:val="center"/>
          </w:tcPr>
          <w:p w14:paraId="488AD5FA" w14:textId="77777777" w:rsidR="00422B98" w:rsidRPr="00422B98" w:rsidRDefault="00422B98" w:rsidP="00407C87">
            <w:pPr>
              <w:jc w:val="center"/>
              <w:rPr>
                <w:sz w:val="18"/>
                <w:szCs w:val="18"/>
              </w:rPr>
            </w:pPr>
            <w:r w:rsidRPr="00422B98">
              <w:rPr>
                <w:sz w:val="18"/>
                <w:szCs w:val="18"/>
              </w:rPr>
              <w:t>241.73±2.80</w:t>
            </w:r>
            <w:r w:rsidRPr="00422B98">
              <w:rPr>
                <w:sz w:val="18"/>
                <w:szCs w:val="18"/>
                <w:vertAlign w:val="superscript"/>
              </w:rPr>
              <w:t>b</w:t>
            </w:r>
          </w:p>
        </w:tc>
        <w:tc>
          <w:tcPr>
            <w:tcW w:w="1276" w:type="dxa"/>
            <w:tcBorders>
              <w:bottom w:val="single" w:sz="4" w:space="0" w:color="auto"/>
            </w:tcBorders>
            <w:vAlign w:val="center"/>
          </w:tcPr>
          <w:p w14:paraId="113FA8F9" w14:textId="77777777" w:rsidR="00422B98" w:rsidRPr="00422B98" w:rsidRDefault="00422B98" w:rsidP="00407C87">
            <w:pPr>
              <w:jc w:val="center"/>
              <w:rPr>
                <w:sz w:val="18"/>
                <w:szCs w:val="18"/>
              </w:rPr>
            </w:pPr>
            <w:r w:rsidRPr="00422B98">
              <w:rPr>
                <w:sz w:val="18"/>
                <w:szCs w:val="18"/>
              </w:rPr>
              <w:t>250.51±1.90</w:t>
            </w:r>
            <w:r w:rsidRPr="00422B98">
              <w:rPr>
                <w:sz w:val="18"/>
                <w:szCs w:val="18"/>
                <w:vertAlign w:val="superscript"/>
              </w:rPr>
              <w:t>c</w:t>
            </w:r>
          </w:p>
        </w:tc>
        <w:tc>
          <w:tcPr>
            <w:tcW w:w="1485" w:type="dxa"/>
            <w:tcBorders>
              <w:bottom w:val="single" w:sz="4" w:space="0" w:color="auto"/>
            </w:tcBorders>
            <w:vAlign w:val="center"/>
          </w:tcPr>
          <w:p w14:paraId="52420111" w14:textId="77777777" w:rsidR="00422B98" w:rsidRPr="00422B98" w:rsidRDefault="00422B98" w:rsidP="00407C87">
            <w:pPr>
              <w:jc w:val="center"/>
              <w:rPr>
                <w:sz w:val="18"/>
                <w:szCs w:val="18"/>
              </w:rPr>
            </w:pPr>
            <w:r w:rsidRPr="00422B98">
              <w:rPr>
                <w:sz w:val="18"/>
                <w:szCs w:val="18"/>
              </w:rPr>
              <w:t>261.33±2.80</w:t>
            </w:r>
            <w:r w:rsidRPr="00422B98">
              <w:rPr>
                <w:sz w:val="18"/>
                <w:szCs w:val="18"/>
                <w:vertAlign w:val="superscript"/>
              </w:rPr>
              <w:t>d</w:t>
            </w:r>
          </w:p>
        </w:tc>
        <w:tc>
          <w:tcPr>
            <w:tcW w:w="1485" w:type="dxa"/>
            <w:tcBorders>
              <w:bottom w:val="single" w:sz="4" w:space="0" w:color="auto"/>
            </w:tcBorders>
          </w:tcPr>
          <w:p w14:paraId="492FD440" w14:textId="77777777" w:rsidR="00422B98" w:rsidRPr="00422B98" w:rsidRDefault="00422B98" w:rsidP="00407C87">
            <w:pPr>
              <w:jc w:val="center"/>
              <w:rPr>
                <w:sz w:val="18"/>
                <w:szCs w:val="18"/>
              </w:rPr>
            </w:pPr>
            <w:r w:rsidRPr="00422B98">
              <w:rPr>
                <w:sz w:val="18"/>
                <w:szCs w:val="18"/>
              </w:rPr>
              <w:t>SNI 2902:2011</w:t>
            </w:r>
          </w:p>
        </w:tc>
      </w:tr>
    </w:tbl>
    <w:p w14:paraId="368DC1DE" w14:textId="77777777" w:rsidR="00422B98" w:rsidRPr="00DD0AC8" w:rsidRDefault="00422B98" w:rsidP="00DD0AC8">
      <w:pPr>
        <w:pBdr>
          <w:top w:val="nil"/>
          <w:left w:val="nil"/>
          <w:bottom w:val="nil"/>
          <w:right w:val="nil"/>
          <w:between w:val="nil"/>
        </w:pBdr>
        <w:ind w:left="630" w:hanging="450"/>
        <w:jc w:val="both"/>
        <w:rPr>
          <w:sz w:val="18"/>
          <w:szCs w:val="18"/>
        </w:rPr>
      </w:pPr>
      <w:r w:rsidRPr="00DD0AC8">
        <w:rPr>
          <w:b/>
          <w:bCs/>
          <w:sz w:val="18"/>
          <w:szCs w:val="18"/>
        </w:rPr>
        <w:t>Note</w:t>
      </w:r>
      <w:r w:rsidRPr="00DD0AC8">
        <w:rPr>
          <w:sz w:val="18"/>
          <w:szCs w:val="18"/>
        </w:rPr>
        <w:t>: Different superscript letters within the same column indicate significant differences according to Tukey's HSD test (p &lt; 0.05).</w:t>
      </w:r>
    </w:p>
    <w:p w14:paraId="77533950" w14:textId="77777777" w:rsidR="00422B98" w:rsidRPr="00422B98" w:rsidRDefault="00422B98" w:rsidP="00422B98">
      <w:pPr>
        <w:rPr>
          <w:vanish/>
        </w:rPr>
      </w:pPr>
      <w:r w:rsidRPr="00422B98">
        <w:rPr>
          <w:vanish/>
        </w:rPr>
        <w:br w:type="textWrapping" w:clear="all"/>
      </w:r>
    </w:p>
    <w:p w14:paraId="4ECA9FD5" w14:textId="77777777" w:rsidR="00422B98" w:rsidRPr="00422B98" w:rsidRDefault="00422B98" w:rsidP="00422B98">
      <w:pPr>
        <w:rPr>
          <w:vanish/>
        </w:rPr>
      </w:pPr>
      <w:r w:rsidRPr="00422B98">
        <w:rPr>
          <w:vanish/>
        </w:rPr>
        <w:br w:type="textWrapping" w:clear="all"/>
      </w:r>
    </w:p>
    <w:p w14:paraId="4E628C43" w14:textId="77777777" w:rsidR="00422B98" w:rsidRPr="00422B98" w:rsidRDefault="00422B98" w:rsidP="00422B98">
      <w:pPr>
        <w:rPr>
          <w:vanish/>
        </w:rPr>
      </w:pPr>
    </w:p>
    <w:p w14:paraId="35ABD708" w14:textId="77777777" w:rsidR="00422B98" w:rsidRPr="00422B98" w:rsidRDefault="00422B98" w:rsidP="00422B98">
      <w:pPr>
        <w:rPr>
          <w:vanish/>
        </w:rPr>
      </w:pPr>
    </w:p>
    <w:p w14:paraId="1C652EF1" w14:textId="77777777" w:rsidR="00422B98" w:rsidRPr="00422B98" w:rsidRDefault="00422B98" w:rsidP="00422B98">
      <w:pPr>
        <w:pBdr>
          <w:top w:val="nil"/>
          <w:left w:val="nil"/>
          <w:bottom w:val="nil"/>
          <w:right w:val="nil"/>
          <w:between w:val="nil"/>
        </w:pBdr>
        <w:jc w:val="both"/>
        <w:rPr>
          <w:color w:val="000000"/>
          <w:sz w:val="22"/>
          <w:szCs w:val="22"/>
        </w:rPr>
      </w:pPr>
    </w:p>
    <w:p w14:paraId="70C68FA4" w14:textId="77777777" w:rsidR="00422B98" w:rsidRPr="00DD0AC8" w:rsidRDefault="00422B98" w:rsidP="00422B98">
      <w:pPr>
        <w:pBdr>
          <w:top w:val="nil"/>
          <w:left w:val="nil"/>
          <w:bottom w:val="nil"/>
          <w:right w:val="nil"/>
          <w:between w:val="nil"/>
        </w:pBdr>
        <w:jc w:val="both"/>
        <w:rPr>
          <w:b/>
          <w:bCs/>
          <w:i/>
          <w:iCs/>
          <w:color w:val="000000"/>
          <w:sz w:val="22"/>
          <w:szCs w:val="22"/>
        </w:rPr>
      </w:pPr>
      <w:r w:rsidRPr="00DD0AC8">
        <w:rPr>
          <w:b/>
          <w:bCs/>
          <w:i/>
          <w:iCs/>
          <w:color w:val="000000"/>
          <w:sz w:val="22"/>
          <w:szCs w:val="22"/>
        </w:rPr>
        <w:t>Moisture Content</w:t>
      </w:r>
    </w:p>
    <w:p w14:paraId="0C817A59"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 xml:space="preserve">The moisture contents of coconut oil samples containing 0%, 1%, 2%, and 3% extract were 1.09%, 0.68%, 0.46%, and 0.44%, respectively. </w:t>
      </w:r>
      <w:r w:rsidRPr="00DD0AC8">
        <w:rPr>
          <w:sz w:val="22"/>
          <w:szCs w:val="22"/>
        </w:rPr>
        <w:t>One-way ANOVA showed that tamarind leaf extract concentration significantly affected the moisture content of coconut oil (p &lt; 0.05). Tukey's HSD test indicated that the 3% extract treatment differed significantly from the control, whereas the 2% and 3% treatments were not significantly different from each other (p &gt; 0.05).</w:t>
      </w:r>
      <w:r w:rsidRPr="00DD0AC8">
        <w:rPr>
          <w:color w:val="000000"/>
          <w:sz w:val="22"/>
          <w:szCs w:val="22"/>
        </w:rPr>
        <w:t xml:space="preserve"> </w:t>
      </w:r>
    </w:p>
    <w:p w14:paraId="5E3F4DDF"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The results demonstrate that increasing extract concentration reduced moisture accumulation in coconut oil.  Nevertheless, the measured moisture content remained above the maximum limit specified in SNI 3741:2013 (max. 0,15% b/b) for edible vegetable oils. This finding suggests that, although the extract effectively reduced moisture accumulation, further optimization of the oil processing procedure, particularly the dehydration step, is required to fully comply with the quality standard. The residual moisture may have resulted from incomplete water removal during oil preparation or moisture absorption during storage rather than from the antioxidant treatment itself.</w:t>
      </w:r>
    </w:p>
    <w:p w14:paraId="3D9B3DED"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 xml:space="preserve">Higher moisture content promotes hydrolysis of triglycerides into glycerol and free fatty acids, thereby accelerating oil deterioration. </w:t>
      </w:r>
      <w:r w:rsidRPr="00DD0AC8">
        <w:rPr>
          <w:noProof/>
          <w:color w:val="000000"/>
          <w:sz w:val="22"/>
          <w:szCs w:val="22"/>
        </w:rPr>
        <w:t xml:space="preserve">Dimzon et al. </w:t>
      </w:r>
      <w:r w:rsidRPr="00DD0AC8">
        <w:rPr>
          <w:color w:val="000000"/>
          <w:sz w:val="22"/>
          <w:szCs w:val="22"/>
        </w:rPr>
        <w:fldChar w:fldCharType="begin" w:fldLock="1"/>
      </w:r>
      <w:r w:rsidRPr="00DD0AC8">
        <w:rPr>
          <w:color w:val="000000"/>
          <w:sz w:val="22"/>
          <w:szCs w:val="22"/>
        </w:rPr>
        <w:instrText>ADDIN CSL_CITATION {"citationItems":[{"id":"ITEM-1","itemData":{"author":[{"dropping-particle":"","family":"Dimzon","given":"Ian Ken D","non-dropping-particle":"","parse-names":false,"suffix":""},{"dropping-particle":"","family":"Valde","given":"Melodina F","non-dropping-particle":"","parse-names":false,"suffix":""},{"dropping-particle":"","family":"Santos","given":"Jaclyn Elizabeth R","non-dropping-particle":"","parse-names":false,"suffix":""},{"dropping-particle":"","family":"Garrovillas","given":"Mark Joseph","non-dropping-particle":"","parse-names":false,"suffix":""},{"dropping-particle":"","family":"Dejarme","given":"Henson M","non-dropping-particle":"","parse-names":false,"suffix":""},{"dropping-particle":"","family":"Remollo","given":"Jo Margarette W","non-dropping-particle":"","parse-names":false,"suffix":""},{"dropping-particle":"","family":"Dayrit","given":"Fabian M","non-dropping-particle":"","parse-names":false,"suffix":""}],"id":"ITEM-1","issue":"1","issued":{"date-parts":[["2011"]]},"page":"89-103","title":"Physico-Chemical and Microbiological Parameters in the Deterioration of Virgin Coconut Oil","type":"article-journal","volume":"140"},"suppress-author":1,"uris":["http://www.mendeley.com/documents/?uuid=253ca945-c466-4507-aa26-4ef5d8368b94"]}],"mendeley":{"formattedCitation":"(2011)","plainTextFormattedCitation":"(2011)","previouslyFormattedCitation":"(2011)"},"properties":{"noteIndex":0},"schema":"https://github.com/citation-style-language/schema/raw/master/csl-citation.json"}</w:instrText>
      </w:r>
      <w:r w:rsidRPr="00DD0AC8">
        <w:rPr>
          <w:color w:val="000000"/>
          <w:sz w:val="22"/>
          <w:szCs w:val="22"/>
        </w:rPr>
        <w:fldChar w:fldCharType="separate"/>
      </w:r>
      <w:r w:rsidRPr="00DD0AC8">
        <w:rPr>
          <w:noProof/>
          <w:color w:val="000000"/>
          <w:sz w:val="22"/>
          <w:szCs w:val="22"/>
        </w:rPr>
        <w:t>(2011)</w:t>
      </w:r>
      <w:r w:rsidRPr="00DD0AC8">
        <w:rPr>
          <w:color w:val="000000"/>
          <w:sz w:val="22"/>
          <w:szCs w:val="22"/>
        </w:rPr>
        <w:fldChar w:fldCharType="end"/>
      </w:r>
      <w:r w:rsidRPr="00DD0AC8">
        <w:rPr>
          <w:color w:val="000000"/>
          <w:sz w:val="22"/>
          <w:szCs w:val="22"/>
        </w:rPr>
        <w:t xml:space="preserve"> reported that elevated water content in coconut oil increases hydrolytic degradation and lowers product quality. The reduced moisture levels observed after antioxidant addition indicate that tamarind leaf extract contributed to improved oil stability during storage. The hygroscopic properties of oxidation products may also explain the higher moisture accumulation observed in untreated samples.</w:t>
      </w:r>
    </w:p>
    <w:p w14:paraId="07A385BE" w14:textId="77777777" w:rsidR="00422B98" w:rsidRPr="00DD0AC8" w:rsidRDefault="00422B98" w:rsidP="00422B98">
      <w:pPr>
        <w:pBdr>
          <w:top w:val="nil"/>
          <w:left w:val="nil"/>
          <w:bottom w:val="nil"/>
          <w:right w:val="nil"/>
          <w:between w:val="nil"/>
        </w:pBdr>
        <w:ind w:firstLine="720"/>
        <w:jc w:val="both"/>
        <w:rPr>
          <w:color w:val="000000"/>
          <w:sz w:val="22"/>
          <w:szCs w:val="22"/>
        </w:rPr>
      </w:pPr>
    </w:p>
    <w:p w14:paraId="274E78EE" w14:textId="77777777" w:rsidR="00422B98" w:rsidRPr="00DD0AC8" w:rsidRDefault="00422B98" w:rsidP="00422B98">
      <w:pPr>
        <w:pBdr>
          <w:top w:val="nil"/>
          <w:left w:val="nil"/>
          <w:bottom w:val="nil"/>
          <w:right w:val="nil"/>
          <w:between w:val="nil"/>
        </w:pBdr>
        <w:jc w:val="both"/>
        <w:rPr>
          <w:b/>
          <w:bCs/>
          <w:i/>
          <w:iCs/>
          <w:color w:val="000000"/>
          <w:sz w:val="22"/>
          <w:szCs w:val="22"/>
        </w:rPr>
      </w:pPr>
      <w:r w:rsidRPr="00DD0AC8">
        <w:rPr>
          <w:b/>
          <w:bCs/>
          <w:i/>
          <w:iCs/>
          <w:color w:val="000000"/>
          <w:sz w:val="22"/>
          <w:szCs w:val="22"/>
        </w:rPr>
        <w:t>Peroxide Value</w:t>
      </w:r>
    </w:p>
    <w:p w14:paraId="08821110"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 xml:space="preserve">Peroxide value analysis showed that antioxidant addition effectively reduced primary oxidation products in coconut oil. The peroxide values for control, 1%, 2%, and 3% extract samples were 0.431, 0.393, 0.327, and 0.225 </w:t>
      </w:r>
      <w:proofErr w:type="spellStart"/>
      <w:r w:rsidRPr="00DD0AC8">
        <w:rPr>
          <w:color w:val="000000"/>
          <w:sz w:val="22"/>
          <w:szCs w:val="22"/>
        </w:rPr>
        <w:t>meq</w:t>
      </w:r>
      <w:proofErr w:type="spellEnd"/>
      <w:r w:rsidRPr="00DD0AC8">
        <w:rPr>
          <w:color w:val="000000"/>
          <w:sz w:val="22"/>
          <w:szCs w:val="22"/>
        </w:rPr>
        <w:t xml:space="preserve">/g, respectively. All samples remained below the maximum SNI limit of 10 </w:t>
      </w:r>
      <w:proofErr w:type="spellStart"/>
      <w:r w:rsidRPr="00DD0AC8">
        <w:rPr>
          <w:color w:val="000000"/>
          <w:sz w:val="22"/>
          <w:szCs w:val="22"/>
        </w:rPr>
        <w:t>meq</w:t>
      </w:r>
      <w:proofErr w:type="spellEnd"/>
      <w:r w:rsidRPr="00DD0AC8">
        <w:rPr>
          <w:color w:val="000000"/>
          <w:sz w:val="22"/>
          <w:szCs w:val="22"/>
        </w:rPr>
        <w:t xml:space="preserve">/kg </w:t>
      </w:r>
      <w:r w:rsidRPr="00DD0AC8">
        <w:rPr>
          <w:color w:val="000000"/>
          <w:sz w:val="22"/>
          <w:szCs w:val="22"/>
        </w:rPr>
        <w:fldChar w:fldCharType="begin" w:fldLock="1"/>
      </w:r>
      <w:r w:rsidRPr="00DD0AC8">
        <w:rPr>
          <w:color w:val="000000"/>
          <w:sz w:val="22"/>
          <w:szCs w:val="22"/>
        </w:rPr>
        <w:instrText>ADDIN CSL_CITATION {"citationItems":[{"id":"ITEM-1","itemData":{"author":[{"dropping-particle":"","family":"Indonesia","given":"Standar Nasional","non-dropping-particle":"","parse-names":false,"suffix":""},{"dropping-particle":"","family":"Nasional","given":"Badan Standardisasi","non-dropping-particle":"","parse-names":false,"suffix":""}],"id":"ITEM-1","issued":{"date-parts":[["2013"]]},"title":"Minyak goreng","type":"article-journal"},"uris":["http://www.mendeley.com/documents/?uuid=6bcf5418-297c-4d6e-b813-fb07a520e476"]}],"mendeley":{"formattedCitation":"(Indonesia &amp; Nasional, 2013)","plainTextFormattedCitation":"(Indonesia &amp; Nasional, 2013)","previouslyFormattedCitation":"(Indonesia &amp; Nasional, 2013)"},"properties":{"noteIndex":0},"schema":"https://github.com/citation-style-language/schema/raw/master/csl-citation.json"}</w:instrText>
      </w:r>
      <w:r w:rsidRPr="00DD0AC8">
        <w:rPr>
          <w:color w:val="000000"/>
          <w:sz w:val="22"/>
          <w:szCs w:val="22"/>
        </w:rPr>
        <w:fldChar w:fldCharType="separate"/>
      </w:r>
      <w:r w:rsidRPr="00DD0AC8">
        <w:rPr>
          <w:noProof/>
          <w:color w:val="000000"/>
          <w:sz w:val="22"/>
          <w:szCs w:val="22"/>
        </w:rPr>
        <w:t>(Indonesia &amp; Nasional, 2013)</w:t>
      </w:r>
      <w:r w:rsidRPr="00DD0AC8">
        <w:rPr>
          <w:color w:val="000000"/>
          <w:sz w:val="22"/>
          <w:szCs w:val="22"/>
        </w:rPr>
        <w:fldChar w:fldCharType="end"/>
      </w:r>
      <w:r w:rsidRPr="00DD0AC8">
        <w:rPr>
          <w:color w:val="000000"/>
          <w:sz w:val="22"/>
          <w:szCs w:val="22"/>
        </w:rPr>
        <w:t>; however, the 3% extract treatment produced the lowest peroxide value.</w:t>
      </w:r>
    </w:p>
    <w:p w14:paraId="00D55B0C"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 xml:space="preserve">The decreasing peroxide values observed with increasing extract concentration indicate that the antioxidant compounds in tamarind leaves effectively inhibited lipid oxidation. According to </w:t>
      </w:r>
      <w:r w:rsidRPr="00DD0AC8">
        <w:rPr>
          <w:noProof/>
          <w:color w:val="000000"/>
          <w:sz w:val="22"/>
          <w:szCs w:val="22"/>
        </w:rPr>
        <w:t xml:space="preserve">Gunstone </w:t>
      </w:r>
      <w:r w:rsidRPr="00DD0AC8">
        <w:rPr>
          <w:color w:val="000000"/>
          <w:sz w:val="22"/>
          <w:szCs w:val="22"/>
        </w:rPr>
        <w:fldChar w:fldCharType="begin" w:fldLock="1"/>
      </w:r>
      <w:r w:rsidRPr="00DD0AC8">
        <w:rPr>
          <w:color w:val="000000"/>
          <w:sz w:val="22"/>
          <w:szCs w:val="22"/>
        </w:rPr>
        <w:instrText>ADDIN CSL_CITATION {"citationItems":[{"id":"ITEM-1","itemData":{"DOI":"10.1007/BF02678811","author":[{"dropping-particle":"","family":"Gunstone","given":"Frank D","non-dropping-particle":"","parse-names":false,"suffix":""}],"container-title":"Journal of the American Oil Chemists' Society","id":"ITEM-1","issue":"2","issued":{"date-parts":[["1984"]]},"page":"441-447","publisher":"John Wiley &amp; Sons, Ltd","title":"Reaction of oxygen and unsaturated fatty acids","type":"article-journal","volume":"61"},"suppress-author":1,"uris":["http://www.mendeley.com/documents/?uuid=c58e7be0-0465-402d-8d92-5994df93c16b"]}],"mendeley":{"formattedCitation":"(1984)","plainTextFormattedCitation":"(1984)","previouslyFormattedCitation":"(1984)"},"properties":{"noteIndex":0},"schema":"https://github.com/citation-style-language/schema/raw/master/csl-citation.json"}</w:instrText>
      </w:r>
      <w:r w:rsidRPr="00DD0AC8">
        <w:rPr>
          <w:color w:val="000000"/>
          <w:sz w:val="22"/>
          <w:szCs w:val="22"/>
        </w:rPr>
        <w:fldChar w:fldCharType="separate"/>
      </w:r>
      <w:r w:rsidRPr="00DD0AC8">
        <w:rPr>
          <w:noProof/>
          <w:color w:val="000000"/>
          <w:sz w:val="22"/>
          <w:szCs w:val="22"/>
        </w:rPr>
        <w:t>(1984)</w:t>
      </w:r>
      <w:r w:rsidRPr="00DD0AC8">
        <w:rPr>
          <w:color w:val="000000"/>
          <w:sz w:val="22"/>
          <w:szCs w:val="22"/>
        </w:rPr>
        <w:fldChar w:fldCharType="end"/>
      </w:r>
      <w:r w:rsidRPr="00DD0AC8">
        <w:rPr>
          <w:color w:val="000000"/>
          <w:sz w:val="22"/>
          <w:szCs w:val="22"/>
        </w:rPr>
        <w:t xml:space="preserve">, peroxide formation occurs when unsaturated fatty acids react with oxygen, producing unstable hydroperoxides that contribute to rancidity. The ability of tamarind leaf extract to reduce peroxide accumulation, therefore, demonstrates its effectiveness in suppressing oxidative deterioration. Flavonoids and phenolic compounds likely acted as hydrogen donors, interrupting free-radical chain reactions during lipid oxidation </w:t>
      </w:r>
      <w:r w:rsidRPr="00DD0AC8">
        <w:rPr>
          <w:color w:val="000000"/>
          <w:sz w:val="22"/>
          <w:szCs w:val="22"/>
        </w:rPr>
        <w:fldChar w:fldCharType="begin" w:fldLock="1"/>
      </w:r>
      <w:r w:rsidRPr="00DD0AC8">
        <w:rPr>
          <w:color w:val="000000"/>
          <w:sz w:val="22"/>
          <w:szCs w:val="22"/>
        </w:rPr>
        <w:instrText>ADDIN CSL_CITATION {"citationItems":[{"id":"ITEM-1","itemData":{"DOI":"10.1021/JF0621828","author":[{"dropping-particle":"","family":"Kerem","given":"Zohar","non-dropping-particle":"","parse-names":false,"suffix":""},{"dropping-particle":"","family":"Chetrit","given":"David","non-dropping-particle":"","parse-names":false,"suffix":""},{"dropping-particle":"","family":"Shoseyov","given":"Oded","non-dropping-particle":"","parse-names":false,"suffix":""},{"dropping-particle":"","family":"Regev-Shoshani","given":"Gilly","non-dropping-particle":"","parse-names":false,"suffix":""}],"container-title":"Journal of Agricultural and Food Chemistry","id":"ITEM-1","issue":"26","issued":{"date-parts":[["2006"]]},"page":"10288-10293","publisher":"American Chemical Society","title":"Protection of Lipids from Oxidation by Epicatechin, trans-Resveratrol, and Gallic and Caffeic Acids in Intestinal Model Systems","type":"article-journal","volume":"54"},"uris":["http://www.mendeley.com/documents/?uuid=6762d4e1-9705-412f-8b1b-8de8a9bc3d3b"]}],"mendeley":{"formattedCitation":"(Kerem et al., 2006)","plainTextFormattedCitation":"(Kerem et al., 2006)","previouslyFormattedCitation":"(Kerem et al., 2006)"},"properties":{"noteIndex":0},"schema":"https://github.com/citation-style-language/schema/raw/master/csl-citation.json"}</w:instrText>
      </w:r>
      <w:r w:rsidRPr="00DD0AC8">
        <w:rPr>
          <w:color w:val="000000"/>
          <w:sz w:val="22"/>
          <w:szCs w:val="22"/>
        </w:rPr>
        <w:fldChar w:fldCharType="separate"/>
      </w:r>
      <w:r w:rsidRPr="00DD0AC8">
        <w:rPr>
          <w:noProof/>
          <w:color w:val="000000"/>
          <w:sz w:val="22"/>
          <w:szCs w:val="22"/>
        </w:rPr>
        <w:t>(Kerem et al., 2006)</w:t>
      </w:r>
      <w:r w:rsidRPr="00DD0AC8">
        <w:rPr>
          <w:color w:val="000000"/>
          <w:sz w:val="22"/>
          <w:szCs w:val="22"/>
        </w:rPr>
        <w:fldChar w:fldCharType="end"/>
      </w:r>
      <w:r w:rsidRPr="00DD0AC8">
        <w:rPr>
          <w:color w:val="000000"/>
          <w:sz w:val="22"/>
          <w:szCs w:val="22"/>
        </w:rPr>
        <w:t>.</w:t>
      </w:r>
    </w:p>
    <w:p w14:paraId="141292BC" w14:textId="77777777" w:rsidR="00422B98" w:rsidRPr="00DD0AC8" w:rsidRDefault="00422B98" w:rsidP="00422B98">
      <w:pPr>
        <w:pBdr>
          <w:top w:val="nil"/>
          <w:left w:val="nil"/>
          <w:bottom w:val="nil"/>
          <w:right w:val="nil"/>
          <w:between w:val="nil"/>
        </w:pBdr>
        <w:ind w:firstLine="720"/>
        <w:jc w:val="both"/>
        <w:rPr>
          <w:color w:val="000000"/>
          <w:sz w:val="22"/>
          <w:szCs w:val="22"/>
        </w:rPr>
      </w:pPr>
    </w:p>
    <w:p w14:paraId="2793F2B1" w14:textId="77777777" w:rsidR="00422B98" w:rsidRPr="00DD0AC8" w:rsidRDefault="00422B98" w:rsidP="00422B98">
      <w:pPr>
        <w:pBdr>
          <w:top w:val="nil"/>
          <w:left w:val="nil"/>
          <w:bottom w:val="nil"/>
          <w:right w:val="nil"/>
          <w:between w:val="nil"/>
        </w:pBdr>
        <w:jc w:val="both"/>
        <w:rPr>
          <w:b/>
          <w:bCs/>
          <w:i/>
          <w:iCs/>
          <w:color w:val="000000"/>
          <w:sz w:val="22"/>
          <w:szCs w:val="22"/>
        </w:rPr>
      </w:pPr>
      <w:r w:rsidRPr="00DD0AC8">
        <w:rPr>
          <w:b/>
          <w:bCs/>
          <w:i/>
          <w:iCs/>
          <w:color w:val="000000"/>
          <w:sz w:val="22"/>
          <w:szCs w:val="22"/>
        </w:rPr>
        <w:t>Free Fatty Acid Content</w:t>
      </w:r>
    </w:p>
    <w:p w14:paraId="71D23EB6"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 xml:space="preserve">In SNI 3741:2013, the quality requirement is expressed as acid value rather than free fatty acid (FFA) content. Therefore, for comparison with the present data, the acid value limit was converted to FFA expressed as lauric acid, resulting in an equivalent maximum limit of 2.14%. The FFA content decreased from 3.29% in the untreated control to 2.98%, 2.18%, and 1.94% after the addition of 1%, 2%, and 3% tamarind leaf ethanol extract, respectively. </w:t>
      </w:r>
    </w:p>
    <w:p w14:paraId="29BCBC79"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Based on the converted SNI limit, only the 3% extract treatment complied with the requirement, while the 2% treatment was very close to the limit and the control and 1% treatments remained above the standard. This result indicates that increasing extract concentration effectively suppressed free fatty acid formation, although sufficient compliance with the converted SNI requirement was achieved only at the 3% extract concentration.</w:t>
      </w:r>
    </w:p>
    <w:p w14:paraId="489742DA"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The reduction in FFA content with increasing antioxidant concentration indicates improved resistance against hydrolytic degradation.</w:t>
      </w:r>
      <w:r w:rsidRPr="00DD0AC8">
        <w:rPr>
          <w:noProof/>
          <w:color w:val="000000"/>
          <w:sz w:val="22"/>
          <w:szCs w:val="22"/>
        </w:rPr>
        <w:t xml:space="preserve"> Tape et al. </w:t>
      </w:r>
      <w:r w:rsidRPr="00DD0AC8">
        <w:rPr>
          <w:color w:val="000000"/>
          <w:sz w:val="22"/>
          <w:szCs w:val="22"/>
        </w:rPr>
        <w:fldChar w:fldCharType="begin" w:fldLock="1"/>
      </w:r>
      <w:r w:rsidRPr="00DD0AC8">
        <w:rPr>
          <w:color w:val="000000"/>
          <w:sz w:val="22"/>
          <w:szCs w:val="22"/>
        </w:rPr>
        <w:instrText>ADDIN CSL_CITATION {"citationItems":[{"id":"ITEM-1","itemData":{"DOI":"10.9734/jamb/2023/v23i3713","author":[{"dropping-particle":"","family":"Tape","given":"Joëlle Stéphanie","non-dropping-particle":"","parse-names":false,"suffix":""},{"dropping-particle":"","family":"Houphouet","given":"Kouakou Richard","non-dropping-particle":"","parse-names":false,"suffix":""},{"dropping-particle":"","family":"Kadjo","given":"Adobi Christian","non-dropping-particle":"","parse-names":false,"suffix":""},{"dropping-particle":"","family":"Yao","given":"K","non-dropping-particle":"","parse-names":false,"suffix":""},{"dropping-particle":"","family":"Kedjebo","given":"Kra Brou Didier","non-dropping-particle":"","parse-names":false,"suffix":""},{"dropping-particle":"","family":"Koné","given":"Koumba Maï","non-dropping-particle":"","parse-names":false,"suffix":""},{"dropping-particle":"","family":"Guehi","given":"Tagro Simplice","non-dropping-particle":"","parse-names":false,"suffix":""},{"dropping-particle":"","family":"Montet","given":"Didier","non-dropping-particle":"","parse-names":false,"suffix":""}],"container-title":"Journal of advances in microbiology","id":"ITEM-1","issue":"3","issued":{"date-parts":[["2023"]]},"page":"21-32","title":"Free Fatty Acids and Cocoa Butter Quality Traits: Causes and Impact on Consumers’ Health","type":"article-journal","volume":"23"},"suppress-author":1,"uris":["http://www.mendeley.com/documents/?uuid=90f951a0-fb95-4376-a702-1acd87f576f5"]}],"mendeley":{"formattedCitation":"(2023)","plainTextFormattedCitation":"(2023)","previouslyFormattedCitation":"(2023)"},"properties":{"noteIndex":0},"schema":"https://github.com/citation-style-language/schema/raw/master/csl-citation.json"}</w:instrText>
      </w:r>
      <w:r w:rsidRPr="00DD0AC8">
        <w:rPr>
          <w:color w:val="000000"/>
          <w:sz w:val="22"/>
          <w:szCs w:val="22"/>
        </w:rPr>
        <w:fldChar w:fldCharType="separate"/>
      </w:r>
      <w:r w:rsidRPr="00DD0AC8">
        <w:rPr>
          <w:noProof/>
          <w:color w:val="000000"/>
          <w:sz w:val="22"/>
          <w:szCs w:val="22"/>
        </w:rPr>
        <w:t>(2023)</w:t>
      </w:r>
      <w:r w:rsidRPr="00DD0AC8">
        <w:rPr>
          <w:color w:val="000000"/>
          <w:sz w:val="22"/>
          <w:szCs w:val="22"/>
        </w:rPr>
        <w:fldChar w:fldCharType="end"/>
      </w:r>
      <w:r w:rsidRPr="00DD0AC8">
        <w:rPr>
          <w:color w:val="000000"/>
          <w:sz w:val="22"/>
          <w:szCs w:val="22"/>
        </w:rPr>
        <w:t xml:space="preserve"> explained that free fatty acids are formed through triglyceride hydrolysis initiated by water and enzymatic activity. Higher moisture content accelerates hydrolysis </w:t>
      </w:r>
      <w:r w:rsidRPr="00DD0AC8">
        <w:rPr>
          <w:color w:val="000000"/>
          <w:sz w:val="22"/>
          <w:szCs w:val="22"/>
        </w:rPr>
        <w:fldChar w:fldCharType="begin" w:fldLock="1"/>
      </w:r>
      <w:r w:rsidRPr="00DD0AC8">
        <w:rPr>
          <w:color w:val="000000"/>
          <w:sz w:val="22"/>
          <w:szCs w:val="22"/>
        </w:rPr>
        <w:instrText>ADDIN CSL_CITATION {"citationItems":[{"id":"ITEM-1","itemData":{"DOI":"10.1021/acsomega.1c06773","author":[{"dropping-particle":"V","family":"Lourençon","given":"Tainise","non-dropping-particle":"","parse-names":false,"suffix":""},{"dropping-particle":"","family":"Altgen","given":"Michael","non-dropping-particle":"","parse-names":false,"suffix":""},{"dropping-particle":"","family":"Pääkkönen","given":"Timo","non-dropping-particle":"","parse-names":false,"suffix":""},{"dropping-particle":"","family":"Guccini","given":"Valentina","non-dropping-particle":"","parse-names":false,"suffix":""},{"dropping-particle":"","family":"Penttilä","given":"Paavo A","non-dropping-particle":"","parse-names":false,"suffix":""},{"dropping-particle":"","family":"Kontturi","given":"Eero","non-dropping-particle":"","parse-names":false,"suffix":""},{"dropping-particle":"","family":"Rautkari","given":"Lauri","non-dropping-particle":"","parse-names":false,"suffix":""}],"container-title":"ACS omega","id":"ITEM-1","issue":"8","issued":{"date-parts":[["2022"]]},"page":"7074-7083","title":"Effect of Moisture on Polymer Deconstruction in HCl Gas Hydrolysis of Wood","type":"article-journal","volume":"7"},"uris":["http://www.mendeley.com/documents/?uuid=390d2d3d-45b6-4315-a31d-bf7620e19f07"]}],"mendeley":{"formattedCitation":"(Lourençon et al., 2022)","plainTextFormattedCitation":"(Lourençon et al., 2022)","previouslyFormattedCitation":"(Lourençon et al., 2022)"},"properties":{"noteIndex":0},"schema":"https://github.com/citation-style-language/schema/raw/master/csl-citation.json"}</w:instrText>
      </w:r>
      <w:r w:rsidRPr="00DD0AC8">
        <w:rPr>
          <w:color w:val="000000"/>
          <w:sz w:val="22"/>
          <w:szCs w:val="22"/>
        </w:rPr>
        <w:fldChar w:fldCharType="separate"/>
      </w:r>
      <w:r w:rsidRPr="00DD0AC8">
        <w:rPr>
          <w:noProof/>
          <w:color w:val="000000"/>
          <w:sz w:val="22"/>
          <w:szCs w:val="22"/>
        </w:rPr>
        <w:t>(Lourençon et al., 2022)</w:t>
      </w:r>
      <w:r w:rsidRPr="00DD0AC8">
        <w:rPr>
          <w:color w:val="000000"/>
          <w:sz w:val="22"/>
          <w:szCs w:val="22"/>
        </w:rPr>
        <w:fldChar w:fldCharType="end"/>
      </w:r>
      <w:r w:rsidRPr="00DD0AC8">
        <w:rPr>
          <w:color w:val="000000"/>
          <w:sz w:val="22"/>
          <w:szCs w:val="22"/>
        </w:rPr>
        <w:t>; the lower FFA values obtained in antioxidant-treated samples further confirm the stabilizing effect of tamarind leaf extract. These findings suggest that antioxidant addition contributed to both oxidative and hydrolytic stabilization mechanisms in coconut oil.</w:t>
      </w:r>
    </w:p>
    <w:p w14:paraId="6DEC7750" w14:textId="77777777" w:rsidR="00422B98" w:rsidRPr="00DD0AC8" w:rsidRDefault="00422B98" w:rsidP="00422B98">
      <w:pPr>
        <w:pBdr>
          <w:top w:val="nil"/>
          <w:left w:val="nil"/>
          <w:bottom w:val="nil"/>
          <w:right w:val="nil"/>
          <w:between w:val="nil"/>
        </w:pBdr>
        <w:ind w:firstLine="720"/>
        <w:jc w:val="both"/>
        <w:rPr>
          <w:color w:val="000000"/>
          <w:sz w:val="22"/>
          <w:szCs w:val="22"/>
        </w:rPr>
      </w:pPr>
    </w:p>
    <w:p w14:paraId="23AA3B44" w14:textId="77777777" w:rsidR="00422B98" w:rsidRPr="00DD0AC8" w:rsidRDefault="00422B98" w:rsidP="00422B98">
      <w:pPr>
        <w:pBdr>
          <w:top w:val="nil"/>
          <w:left w:val="nil"/>
          <w:bottom w:val="nil"/>
          <w:right w:val="nil"/>
          <w:between w:val="nil"/>
        </w:pBdr>
        <w:jc w:val="both"/>
        <w:rPr>
          <w:b/>
          <w:bCs/>
          <w:i/>
          <w:iCs/>
          <w:color w:val="000000"/>
          <w:sz w:val="22"/>
          <w:szCs w:val="22"/>
        </w:rPr>
      </w:pPr>
      <w:r w:rsidRPr="00DD0AC8">
        <w:rPr>
          <w:b/>
          <w:bCs/>
          <w:i/>
          <w:iCs/>
          <w:color w:val="000000"/>
          <w:sz w:val="22"/>
          <w:szCs w:val="22"/>
        </w:rPr>
        <w:t>Saponification Value</w:t>
      </w:r>
    </w:p>
    <w:p w14:paraId="54B05547"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sz w:val="22"/>
          <w:szCs w:val="22"/>
        </w:rPr>
        <w:t>Unlike moisture content, peroxide value, and acid value, the saponification value is not included as a quality parameter in SNI 3741:2013. Therefore, the results were evaluated based on the specification provided in SNI 01-2902-2011, which recommends a saponification value of 248–265 mg KOH g⁻¹. Based on this criterion, coconut oil containing 2% and 3% tamarind leaf extract complied with the recommended range, whereas the control and 1% extract treatments remained below the specified values.</w:t>
      </w:r>
    </w:p>
    <w:p w14:paraId="0BC459C4"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 xml:space="preserve">Higher saponification values indicate greater stability of fatty acid components within the oil matrix. The increase in saponification value after antioxidant addition suggests that tamarind leaf extract effectively protected triglyceride structures from oxidative degradation. Oils with higher saponification values generally indicate better preservation of triglyceride integrity and reduced decomposition </w:t>
      </w:r>
      <w:r w:rsidRPr="00DD0AC8">
        <w:rPr>
          <w:color w:val="000000"/>
          <w:sz w:val="22"/>
          <w:szCs w:val="22"/>
        </w:rPr>
        <w:fldChar w:fldCharType="begin" w:fldLock="1"/>
      </w:r>
      <w:r w:rsidRPr="00DD0AC8">
        <w:rPr>
          <w:color w:val="000000"/>
          <w:sz w:val="22"/>
          <w:szCs w:val="22"/>
        </w:rPr>
        <w:instrText>ADDIN CSL_CITATION {"citationItems":[{"id":"ITEM-1","itemData":{"DOI":"10.1002/aocs.12802","author":[{"dropping-particle":"","family":"Villarruel","given":"Emilia Monserrat Ortiz","non-dropping-particle":"","parse-names":false,"suffix":""},{"dropping-particle":"","family":"Carvalho Filho","given":"José Faustino Souza","non-dropping-particle":"de","parse-names":false,"suffix":""},{"dropping-particle":"","family":"Garcia","given":"Marco Aurélio Suller","non-dropping-particle":"","parse-names":false,"suffix":""},{"dropping-particle":"","family":"Almeida","given":"João Monnerat Araújo Ribeiro","non-dropping-particle":"de","parse-names":false,"suffix":""},{"dropping-particle":"","family":"Aranda","given":"Donato Alexandre Gomes","non-dropping-particle":"","parse-names":false,"suffix":""},{"dropping-particle":"","family":"Romano","given":"Pedro Nothaft","non-dropping-particle":"","parse-names":false,"suffix":""}],"container-title":"Journal of the American Oil Chemists' Society","id":"ITEM-1","issued":{"date-parts":[["2023"]]},"title":"Maintaining high‐triglyceride content and reducing free fatty acids in distillers corn oil: A catalyst‐free multivariate strategy","type":"article-journal"},"uris":["http://www.mendeley.com/documents/?uuid=ad3a7fa6-394b-422b-87b2-bb801e167bdb"]}],"mendeley":{"formattedCitation":"(Villarruel et al., 2023)","plainTextFormattedCitation":"(Villarruel et al., 2023)","previouslyFormattedCitation":"(Villarruel et al., 2023)"},"properties":{"noteIndex":0},"schema":"https://github.com/citation-style-language/schema/raw/master/csl-citation.json"}</w:instrText>
      </w:r>
      <w:r w:rsidRPr="00DD0AC8">
        <w:rPr>
          <w:color w:val="000000"/>
          <w:sz w:val="22"/>
          <w:szCs w:val="22"/>
        </w:rPr>
        <w:fldChar w:fldCharType="separate"/>
      </w:r>
      <w:r w:rsidRPr="00DD0AC8">
        <w:rPr>
          <w:noProof/>
          <w:color w:val="000000"/>
          <w:sz w:val="22"/>
          <w:szCs w:val="22"/>
        </w:rPr>
        <w:t>(Villarruel et al., 2023)</w:t>
      </w:r>
      <w:r w:rsidRPr="00DD0AC8">
        <w:rPr>
          <w:color w:val="000000"/>
          <w:sz w:val="22"/>
          <w:szCs w:val="22"/>
        </w:rPr>
        <w:fldChar w:fldCharType="end"/>
      </w:r>
      <w:r w:rsidRPr="00DD0AC8">
        <w:rPr>
          <w:color w:val="000000"/>
          <w:sz w:val="22"/>
          <w:szCs w:val="22"/>
        </w:rPr>
        <w:t>. Overall, among all tested treatments, the 3% extract concentration demonstrated the best physicochemical quality characteristics.</w:t>
      </w:r>
    </w:p>
    <w:p w14:paraId="06B466EF"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sz w:val="22"/>
          <w:szCs w:val="22"/>
        </w:rPr>
        <w:t>It should be noted that the formulation process involved heating the coconut oil–extract mixture at 90 °C for 15 min to ensure homogeneous dispersion of the extract within the oil matrix. Such thermal treatment may have caused partial degradation of thermolabile phenolic compounds, including flavonoids, which are known to contribute to antioxidant activity. Consequently, the antioxidant capacity of the formulated oil may have been lower than that of the fresh extract. Nevertheless, the treated samples still exhibited improved physicochemical stability compared with the untreated control, suggesting that sufficient antioxidant compounds remained active to inhibit oxidative deterioration during storage. Future studies should investigate lower-temperature formulation methods or alternative incorporation techniques to minimize thermal degradation of bioactive constituents while maintaining formulation homogeneity.</w:t>
      </w:r>
    </w:p>
    <w:p w14:paraId="51DD912D" w14:textId="77777777" w:rsidR="00422B98" w:rsidRPr="00DD0AC8" w:rsidRDefault="00422B98" w:rsidP="00422B98">
      <w:pPr>
        <w:pBdr>
          <w:top w:val="nil"/>
          <w:left w:val="nil"/>
          <w:bottom w:val="nil"/>
          <w:right w:val="nil"/>
          <w:between w:val="nil"/>
        </w:pBdr>
        <w:ind w:firstLine="720"/>
        <w:jc w:val="both"/>
        <w:rPr>
          <w:color w:val="000000"/>
          <w:sz w:val="22"/>
          <w:szCs w:val="22"/>
        </w:rPr>
      </w:pPr>
    </w:p>
    <w:p w14:paraId="3C174796" w14:textId="77777777" w:rsidR="00422B98" w:rsidRPr="00DD0AC8" w:rsidRDefault="00422B98" w:rsidP="00422B98">
      <w:pPr>
        <w:pBdr>
          <w:top w:val="nil"/>
          <w:left w:val="nil"/>
          <w:bottom w:val="nil"/>
          <w:right w:val="nil"/>
          <w:between w:val="nil"/>
        </w:pBdr>
        <w:jc w:val="both"/>
        <w:rPr>
          <w:b/>
          <w:bCs/>
          <w:i/>
          <w:iCs/>
          <w:color w:val="000000"/>
          <w:sz w:val="22"/>
          <w:szCs w:val="22"/>
        </w:rPr>
      </w:pPr>
      <w:r w:rsidRPr="00DD0AC8">
        <w:rPr>
          <w:b/>
          <w:bCs/>
          <w:i/>
          <w:iCs/>
          <w:color w:val="000000"/>
          <w:sz w:val="22"/>
          <w:szCs w:val="22"/>
        </w:rPr>
        <w:t>Shelf-Life Estimation Using the ASLT Arrhenius Model</w:t>
      </w:r>
    </w:p>
    <w:p w14:paraId="64220FF8"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 xml:space="preserve">Shelf-life estimation was conducted using the Accelerated </w:t>
      </w:r>
      <w:proofErr w:type="gramStart"/>
      <w:r w:rsidRPr="00DD0AC8">
        <w:rPr>
          <w:color w:val="000000"/>
          <w:sz w:val="22"/>
          <w:szCs w:val="22"/>
        </w:rPr>
        <w:t>Shelf Life</w:t>
      </w:r>
      <w:proofErr w:type="gramEnd"/>
      <w:r w:rsidRPr="00DD0AC8">
        <w:rPr>
          <w:color w:val="000000"/>
          <w:sz w:val="22"/>
          <w:szCs w:val="22"/>
        </w:rPr>
        <w:t xml:space="preserve"> Testing (ASLT) method with the Arrhenius kinetic model. Coconut oil containing the optimal extract concentration (3%) was stored at 25 °C, 29–31 °C, and 38–41 °C for 30 days. Free fatty acid content was selected as the critical quality parameter for determining deterioration kinetics because it reflects both hydrolytic and oxidative degradation during storage </w:t>
      </w:r>
      <w:r w:rsidRPr="00DD0AC8">
        <w:rPr>
          <w:color w:val="000000"/>
          <w:sz w:val="22"/>
          <w:szCs w:val="22"/>
        </w:rPr>
        <w:fldChar w:fldCharType="begin" w:fldLock="1"/>
      </w:r>
      <w:r w:rsidRPr="00DD0AC8">
        <w:rPr>
          <w:color w:val="000000"/>
          <w:sz w:val="22"/>
          <w:szCs w:val="22"/>
        </w:rPr>
        <w:instrText>ADDIN CSL_CITATION {"citationItems":[{"id":"ITEM-1","itemData":{"DOI":"10.11113/jurnalteknologi.v85.19526","author":[{"dropping-particle":"","family":"Sarungallo","given":"Zita Letviany","non-dropping-particle":"","parse-names":false,"suffix":""},{"dropping-particle":"","family":"Santoso","given":"Budi","non-dropping-particle":"","parse-names":false,"suffix":""},{"dropping-particle":"","family":"Letsoin","given":"Yuyun Yuanita Digna","non-dropping-particle":"","parse-names":false,"suffix":""},{"dropping-particle":"","family":"Epriliati","given":"Indah","non-dropping-particle":"","parse-names":false,"suffix":""}],"container-title":"Jurnal teknologi","id":"ITEM-1","issue":"5","issued":{"date-parts":[["2023"]]},"page":"103-112","publisher":"Muhammadiyah University of Jakarta","title":"DETERIORATION KINETICS OF NEUTRALIZED RED FRUIT (Pandanus conoideus L.) OIL DURING STORAGE","type":"article-journal","volume":"85"},"uris":["http://www.mendeley.com/documents/?uuid=bbf699ee-e616-4153-98e4-4d1f1a4fee73"]}],"mendeley":{"formattedCitation":"(Sarungallo et al., 2023)","plainTextFormattedCitation":"(Sarungallo et al., 2023)","previouslyFormattedCitation":"(Sarungallo et al., 2023)"},"properties":{"noteIndex":0},"schema":"https://github.com/citation-style-language/schema/raw/master/csl-citation.json"}</w:instrText>
      </w:r>
      <w:r w:rsidRPr="00DD0AC8">
        <w:rPr>
          <w:color w:val="000000"/>
          <w:sz w:val="22"/>
          <w:szCs w:val="22"/>
        </w:rPr>
        <w:fldChar w:fldCharType="separate"/>
      </w:r>
      <w:r w:rsidRPr="00DD0AC8">
        <w:rPr>
          <w:noProof/>
          <w:color w:val="000000"/>
          <w:sz w:val="22"/>
          <w:szCs w:val="22"/>
        </w:rPr>
        <w:t>(Sarungallo et al., 2023)</w:t>
      </w:r>
      <w:r w:rsidRPr="00DD0AC8">
        <w:rPr>
          <w:color w:val="000000"/>
          <w:sz w:val="22"/>
          <w:szCs w:val="22"/>
        </w:rPr>
        <w:fldChar w:fldCharType="end"/>
      </w:r>
      <w:r w:rsidRPr="00DD0AC8">
        <w:rPr>
          <w:color w:val="000000"/>
          <w:sz w:val="22"/>
          <w:szCs w:val="22"/>
        </w:rPr>
        <w:t>.</w:t>
      </w:r>
    </w:p>
    <w:p w14:paraId="09CB8C11"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Regression analysis of storage time versus quality degradation was performed using zero-order and first-order kinetic models (Fig 1). The zero-order model produced higher correlation coefficients (R2) than the first-order model across all storage conditions, indicating that coconut oil deterioration followed zero-order reaction kinetics. The R2 values for zero-order kinetics at control, 25 °C, 29–31 °C, and 38–41 °C were 0.9397, 0.9944, 0.8906, and 0.8542, respectively.</w:t>
      </w:r>
    </w:p>
    <w:p w14:paraId="60C91C06"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The Arrhenius regression equation obtained from the relationship between ln k and 1/T was y = −2958x + 6.7306 with an R² value of 0.7001. Based on this equation, the activation energy (</w:t>
      </w:r>
      <w:proofErr w:type="spellStart"/>
      <w:r w:rsidRPr="00DD0AC8">
        <w:rPr>
          <w:color w:val="000000"/>
          <w:sz w:val="22"/>
          <w:szCs w:val="22"/>
        </w:rPr>
        <w:t>Ea</w:t>
      </w:r>
      <w:proofErr w:type="spellEnd"/>
      <w:r w:rsidRPr="00DD0AC8">
        <w:rPr>
          <w:color w:val="000000"/>
          <w:sz w:val="22"/>
          <w:szCs w:val="22"/>
        </w:rPr>
        <w:t>) of coconut oil deterioration was calculated to be 5.8746 kcal/mol. The estimated shelf life of untreated coconut oil was 37 days. In contrast, coconut oil containing 3% tamarind leaf extract exhibited significantly longer shelf life at all storage temperatures. Shelf-life predictions for antioxidant-treated oil were 87 days at 25 °C, 63 days at 29–31 °C, and 42 days at 38–41 °C.</w:t>
      </w:r>
    </w:p>
    <w:p w14:paraId="1E4506B2" w14:textId="77777777" w:rsidR="00422B98" w:rsidRPr="00DD0AC8" w:rsidRDefault="00422B98" w:rsidP="00422B98">
      <w:pPr>
        <w:pBdr>
          <w:top w:val="nil"/>
          <w:left w:val="nil"/>
          <w:bottom w:val="nil"/>
          <w:right w:val="nil"/>
          <w:between w:val="nil"/>
        </w:pBdr>
        <w:ind w:firstLine="720"/>
        <w:jc w:val="both"/>
        <w:rPr>
          <w:color w:val="000000"/>
          <w:sz w:val="22"/>
          <w:szCs w:val="22"/>
        </w:rPr>
      </w:pPr>
    </w:p>
    <w:p w14:paraId="591E9F72" w14:textId="77777777" w:rsidR="00422B98" w:rsidRPr="00422B98" w:rsidRDefault="00422B98" w:rsidP="00422B98">
      <w:pPr>
        <w:pBdr>
          <w:top w:val="nil"/>
          <w:left w:val="nil"/>
          <w:bottom w:val="nil"/>
          <w:right w:val="nil"/>
          <w:between w:val="nil"/>
        </w:pBdr>
        <w:jc w:val="both"/>
        <w:rPr>
          <w:b/>
          <w:bCs/>
          <w:sz w:val="18"/>
          <w:szCs w:val="18"/>
        </w:rPr>
      </w:pPr>
    </w:p>
    <w:p w14:paraId="06D7CEE1" w14:textId="77777777" w:rsidR="00422B98" w:rsidRPr="00422B98" w:rsidRDefault="00422B98" w:rsidP="00422B98">
      <w:pPr>
        <w:pBdr>
          <w:top w:val="nil"/>
          <w:left w:val="nil"/>
          <w:bottom w:val="nil"/>
          <w:right w:val="nil"/>
          <w:between w:val="nil"/>
        </w:pBdr>
        <w:jc w:val="both"/>
        <w:rPr>
          <w:b/>
          <w:bCs/>
          <w:sz w:val="18"/>
          <w:szCs w:val="18"/>
        </w:rPr>
      </w:pPr>
      <w:r w:rsidRPr="00422B98">
        <w:rPr>
          <w:noProof/>
          <w:color w:val="000000"/>
          <w:sz w:val="22"/>
          <w:szCs w:val="22"/>
        </w:rPr>
        <w:drawing>
          <wp:anchor distT="0" distB="0" distL="114300" distR="114300" simplePos="0" relativeHeight="251662336" behindDoc="0" locked="0" layoutInCell="1" allowOverlap="1" wp14:anchorId="14BF7C6F" wp14:editId="2B5F87C1">
            <wp:simplePos x="0" y="0"/>
            <wp:positionH relativeFrom="margin">
              <wp:posOffset>500698</wp:posOffset>
            </wp:positionH>
            <wp:positionV relativeFrom="paragraph">
              <wp:posOffset>33020</wp:posOffset>
            </wp:positionV>
            <wp:extent cx="4203700" cy="2185670"/>
            <wp:effectExtent l="0" t="0" r="6350" b="5080"/>
            <wp:wrapThrough wrapText="bothSides">
              <wp:wrapPolygon edited="0">
                <wp:start x="0" y="0"/>
                <wp:lineTo x="0" y="21462"/>
                <wp:lineTo x="21535" y="21462"/>
                <wp:lineTo x="21535" y="0"/>
                <wp:lineTo x="0" y="0"/>
              </wp:wrapPolygon>
            </wp:wrapThrough>
            <wp:docPr id="11727109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03700" cy="2185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2847E3" w14:textId="77777777" w:rsidR="00422B98" w:rsidRPr="00422B98" w:rsidRDefault="00422B98" w:rsidP="00422B98">
      <w:pPr>
        <w:pBdr>
          <w:top w:val="nil"/>
          <w:left w:val="nil"/>
          <w:bottom w:val="nil"/>
          <w:right w:val="nil"/>
          <w:between w:val="nil"/>
        </w:pBdr>
        <w:jc w:val="both"/>
        <w:rPr>
          <w:b/>
          <w:bCs/>
          <w:sz w:val="18"/>
          <w:szCs w:val="18"/>
        </w:rPr>
      </w:pPr>
    </w:p>
    <w:p w14:paraId="445A8124" w14:textId="77777777" w:rsidR="00422B98" w:rsidRPr="00422B98" w:rsidRDefault="00422B98" w:rsidP="00422B98">
      <w:pPr>
        <w:pBdr>
          <w:top w:val="nil"/>
          <w:left w:val="nil"/>
          <w:bottom w:val="nil"/>
          <w:right w:val="nil"/>
          <w:between w:val="nil"/>
        </w:pBdr>
        <w:jc w:val="both"/>
        <w:rPr>
          <w:b/>
          <w:bCs/>
          <w:sz w:val="18"/>
          <w:szCs w:val="18"/>
        </w:rPr>
      </w:pPr>
    </w:p>
    <w:p w14:paraId="5F192C53" w14:textId="77777777" w:rsidR="00422B98" w:rsidRPr="00422B98" w:rsidRDefault="00422B98" w:rsidP="00422B98">
      <w:pPr>
        <w:pBdr>
          <w:top w:val="nil"/>
          <w:left w:val="nil"/>
          <w:bottom w:val="nil"/>
          <w:right w:val="nil"/>
          <w:between w:val="nil"/>
        </w:pBdr>
        <w:jc w:val="both"/>
        <w:rPr>
          <w:b/>
          <w:bCs/>
          <w:sz w:val="18"/>
          <w:szCs w:val="18"/>
        </w:rPr>
      </w:pPr>
    </w:p>
    <w:p w14:paraId="63C65BB8" w14:textId="77777777" w:rsidR="00422B98" w:rsidRPr="00422B98" w:rsidRDefault="00422B98" w:rsidP="00422B98">
      <w:pPr>
        <w:pBdr>
          <w:top w:val="nil"/>
          <w:left w:val="nil"/>
          <w:bottom w:val="nil"/>
          <w:right w:val="nil"/>
          <w:between w:val="nil"/>
        </w:pBdr>
        <w:jc w:val="both"/>
        <w:rPr>
          <w:b/>
          <w:bCs/>
          <w:sz w:val="18"/>
          <w:szCs w:val="18"/>
        </w:rPr>
      </w:pPr>
    </w:p>
    <w:p w14:paraId="4BB98D71" w14:textId="77777777" w:rsidR="00422B98" w:rsidRPr="00422B98" w:rsidRDefault="00422B98" w:rsidP="00422B98">
      <w:pPr>
        <w:pBdr>
          <w:top w:val="nil"/>
          <w:left w:val="nil"/>
          <w:bottom w:val="nil"/>
          <w:right w:val="nil"/>
          <w:between w:val="nil"/>
        </w:pBdr>
        <w:jc w:val="both"/>
        <w:rPr>
          <w:b/>
          <w:bCs/>
          <w:sz w:val="18"/>
          <w:szCs w:val="18"/>
        </w:rPr>
      </w:pPr>
    </w:p>
    <w:p w14:paraId="2873FB99" w14:textId="77777777" w:rsidR="00422B98" w:rsidRPr="00422B98" w:rsidRDefault="00422B98" w:rsidP="00422B98">
      <w:pPr>
        <w:pBdr>
          <w:top w:val="nil"/>
          <w:left w:val="nil"/>
          <w:bottom w:val="nil"/>
          <w:right w:val="nil"/>
          <w:between w:val="nil"/>
        </w:pBdr>
        <w:jc w:val="both"/>
        <w:rPr>
          <w:b/>
          <w:bCs/>
          <w:sz w:val="18"/>
          <w:szCs w:val="18"/>
        </w:rPr>
      </w:pPr>
    </w:p>
    <w:p w14:paraId="0487E45E" w14:textId="77777777" w:rsidR="00422B98" w:rsidRPr="00422B98" w:rsidRDefault="00422B98" w:rsidP="00422B98">
      <w:pPr>
        <w:pBdr>
          <w:top w:val="nil"/>
          <w:left w:val="nil"/>
          <w:bottom w:val="nil"/>
          <w:right w:val="nil"/>
          <w:between w:val="nil"/>
        </w:pBdr>
        <w:jc w:val="both"/>
        <w:rPr>
          <w:b/>
          <w:bCs/>
          <w:sz w:val="18"/>
          <w:szCs w:val="18"/>
        </w:rPr>
      </w:pPr>
    </w:p>
    <w:p w14:paraId="6C509E12" w14:textId="77777777" w:rsidR="00422B98" w:rsidRPr="00422B98" w:rsidRDefault="00422B98" w:rsidP="00422B98">
      <w:pPr>
        <w:pBdr>
          <w:top w:val="nil"/>
          <w:left w:val="nil"/>
          <w:bottom w:val="nil"/>
          <w:right w:val="nil"/>
          <w:between w:val="nil"/>
        </w:pBdr>
        <w:jc w:val="both"/>
        <w:rPr>
          <w:b/>
          <w:bCs/>
          <w:sz w:val="18"/>
          <w:szCs w:val="18"/>
        </w:rPr>
      </w:pPr>
    </w:p>
    <w:p w14:paraId="6BCD1405" w14:textId="77777777" w:rsidR="00422B98" w:rsidRPr="00422B98" w:rsidRDefault="00422B98" w:rsidP="00422B98">
      <w:pPr>
        <w:pBdr>
          <w:top w:val="nil"/>
          <w:left w:val="nil"/>
          <w:bottom w:val="nil"/>
          <w:right w:val="nil"/>
          <w:between w:val="nil"/>
        </w:pBdr>
        <w:jc w:val="both"/>
        <w:rPr>
          <w:b/>
          <w:bCs/>
          <w:sz w:val="18"/>
          <w:szCs w:val="18"/>
        </w:rPr>
      </w:pPr>
    </w:p>
    <w:p w14:paraId="3585EAD8" w14:textId="77777777" w:rsidR="00422B98" w:rsidRPr="00422B98" w:rsidRDefault="00422B98" w:rsidP="00422B98">
      <w:pPr>
        <w:pBdr>
          <w:top w:val="nil"/>
          <w:left w:val="nil"/>
          <w:bottom w:val="nil"/>
          <w:right w:val="nil"/>
          <w:between w:val="nil"/>
        </w:pBdr>
        <w:jc w:val="both"/>
        <w:rPr>
          <w:b/>
          <w:bCs/>
          <w:sz w:val="18"/>
          <w:szCs w:val="18"/>
        </w:rPr>
      </w:pPr>
    </w:p>
    <w:p w14:paraId="6D8F3104" w14:textId="77777777" w:rsidR="00422B98" w:rsidRPr="00422B98" w:rsidRDefault="00422B98" w:rsidP="00422B98">
      <w:pPr>
        <w:pBdr>
          <w:top w:val="nil"/>
          <w:left w:val="nil"/>
          <w:bottom w:val="nil"/>
          <w:right w:val="nil"/>
          <w:between w:val="nil"/>
        </w:pBdr>
        <w:jc w:val="both"/>
        <w:rPr>
          <w:b/>
          <w:bCs/>
          <w:sz w:val="18"/>
          <w:szCs w:val="18"/>
        </w:rPr>
      </w:pPr>
    </w:p>
    <w:p w14:paraId="29584A69" w14:textId="77777777" w:rsidR="00422B98" w:rsidRPr="00422B98" w:rsidRDefault="00422B98" w:rsidP="00422B98">
      <w:pPr>
        <w:pBdr>
          <w:top w:val="nil"/>
          <w:left w:val="nil"/>
          <w:bottom w:val="nil"/>
          <w:right w:val="nil"/>
          <w:between w:val="nil"/>
        </w:pBdr>
        <w:jc w:val="both"/>
        <w:rPr>
          <w:b/>
          <w:bCs/>
          <w:sz w:val="18"/>
          <w:szCs w:val="18"/>
        </w:rPr>
      </w:pPr>
    </w:p>
    <w:p w14:paraId="3B2B5D9C" w14:textId="77777777" w:rsidR="00422B98" w:rsidRPr="00422B98" w:rsidRDefault="00422B98" w:rsidP="00422B98">
      <w:pPr>
        <w:pBdr>
          <w:top w:val="nil"/>
          <w:left w:val="nil"/>
          <w:bottom w:val="nil"/>
          <w:right w:val="nil"/>
          <w:between w:val="nil"/>
        </w:pBdr>
        <w:jc w:val="both"/>
        <w:rPr>
          <w:b/>
          <w:bCs/>
          <w:sz w:val="18"/>
          <w:szCs w:val="18"/>
        </w:rPr>
      </w:pPr>
    </w:p>
    <w:p w14:paraId="09B2FDBF" w14:textId="77777777" w:rsidR="00422B98" w:rsidRPr="00422B98" w:rsidRDefault="00422B98" w:rsidP="00422B98">
      <w:pPr>
        <w:pBdr>
          <w:top w:val="nil"/>
          <w:left w:val="nil"/>
          <w:bottom w:val="nil"/>
          <w:right w:val="nil"/>
          <w:between w:val="nil"/>
        </w:pBdr>
        <w:jc w:val="both"/>
        <w:rPr>
          <w:b/>
          <w:bCs/>
          <w:sz w:val="18"/>
          <w:szCs w:val="18"/>
        </w:rPr>
      </w:pPr>
    </w:p>
    <w:p w14:paraId="32BD3439" w14:textId="77777777" w:rsidR="00422B98" w:rsidRPr="00422B98" w:rsidRDefault="00422B98" w:rsidP="00422B98">
      <w:pPr>
        <w:pBdr>
          <w:top w:val="nil"/>
          <w:left w:val="nil"/>
          <w:bottom w:val="nil"/>
          <w:right w:val="nil"/>
          <w:between w:val="nil"/>
        </w:pBdr>
        <w:jc w:val="both"/>
        <w:rPr>
          <w:b/>
          <w:bCs/>
          <w:sz w:val="18"/>
          <w:szCs w:val="18"/>
        </w:rPr>
      </w:pPr>
    </w:p>
    <w:p w14:paraId="1F892C27" w14:textId="77777777" w:rsidR="00422B98" w:rsidRPr="00422B98" w:rsidRDefault="00422B98" w:rsidP="00422B98">
      <w:pPr>
        <w:rPr>
          <w:b/>
          <w:bCs/>
          <w:sz w:val="18"/>
          <w:szCs w:val="18"/>
        </w:rPr>
      </w:pPr>
      <w:r w:rsidRPr="00422B98">
        <w:rPr>
          <w:b/>
          <w:bCs/>
          <w:sz w:val="18"/>
          <w:szCs w:val="18"/>
        </w:rPr>
        <w:t xml:space="preserve">   </w:t>
      </w:r>
    </w:p>
    <w:p w14:paraId="6C6F858B" w14:textId="77777777" w:rsidR="00422B98" w:rsidRPr="00422B98" w:rsidRDefault="00422B98" w:rsidP="00422B98">
      <w:pPr>
        <w:rPr>
          <w:b/>
          <w:bCs/>
          <w:sz w:val="18"/>
          <w:szCs w:val="18"/>
        </w:rPr>
      </w:pPr>
    </w:p>
    <w:p w14:paraId="0D631A3D" w14:textId="5CF38EC8" w:rsidR="00422B98" w:rsidRPr="00422B98" w:rsidRDefault="00422B98" w:rsidP="00DD0AC8">
      <w:pPr>
        <w:jc w:val="center"/>
        <w:rPr>
          <w:sz w:val="18"/>
          <w:szCs w:val="18"/>
        </w:rPr>
      </w:pPr>
      <w:r w:rsidRPr="00422B98">
        <w:rPr>
          <w:b/>
          <w:bCs/>
          <w:sz w:val="18"/>
          <w:szCs w:val="18"/>
        </w:rPr>
        <w:t>Figure 1.</w:t>
      </w:r>
      <w:r w:rsidRPr="00422B98">
        <w:rPr>
          <w:sz w:val="18"/>
          <w:szCs w:val="18"/>
        </w:rPr>
        <w:t xml:space="preserve"> The Relationship between Storage Duration and Quality Degradations for Zero-Order Kinetics</w:t>
      </w:r>
    </w:p>
    <w:p w14:paraId="2DF249A3" w14:textId="77777777" w:rsidR="00422B98" w:rsidRPr="00422B98" w:rsidRDefault="00422B98" w:rsidP="00422B98">
      <w:pPr>
        <w:rPr>
          <w:sz w:val="18"/>
          <w:szCs w:val="18"/>
        </w:rPr>
      </w:pPr>
      <w:r w:rsidRPr="00422B98">
        <w:rPr>
          <w:sz w:val="18"/>
          <w:szCs w:val="18"/>
        </w:rPr>
        <w:t xml:space="preserve">                 </w:t>
      </w:r>
    </w:p>
    <w:p w14:paraId="42FFC3E3" w14:textId="77777777" w:rsidR="00422B98" w:rsidRPr="00422B98" w:rsidRDefault="00422B98" w:rsidP="00422B98">
      <w:pPr>
        <w:pBdr>
          <w:top w:val="nil"/>
          <w:left w:val="nil"/>
          <w:bottom w:val="nil"/>
          <w:right w:val="nil"/>
          <w:between w:val="nil"/>
        </w:pBdr>
        <w:jc w:val="both"/>
        <w:rPr>
          <w:sz w:val="18"/>
          <w:szCs w:val="18"/>
        </w:rPr>
      </w:pPr>
      <w:r w:rsidRPr="00422B98">
        <w:rPr>
          <w:sz w:val="18"/>
          <w:szCs w:val="18"/>
        </w:rPr>
        <w:t xml:space="preserve">   </w:t>
      </w:r>
    </w:p>
    <w:p w14:paraId="690AB4DA" w14:textId="77777777" w:rsidR="00422B98" w:rsidRPr="00422B98" w:rsidRDefault="00422B98" w:rsidP="00422B98">
      <w:pPr>
        <w:pBdr>
          <w:top w:val="nil"/>
          <w:left w:val="nil"/>
          <w:bottom w:val="nil"/>
          <w:right w:val="nil"/>
          <w:between w:val="nil"/>
        </w:pBdr>
        <w:jc w:val="both"/>
        <w:rPr>
          <w:color w:val="000000"/>
          <w:sz w:val="22"/>
          <w:szCs w:val="22"/>
        </w:rPr>
      </w:pPr>
      <w:r w:rsidRPr="00422B98">
        <w:rPr>
          <w:sz w:val="18"/>
          <w:szCs w:val="18"/>
        </w:rPr>
        <w:t xml:space="preserve">           </w:t>
      </w:r>
      <w:r w:rsidRPr="00422B98">
        <w:rPr>
          <w:color w:val="000000"/>
          <w:sz w:val="22"/>
          <w:szCs w:val="22"/>
        </w:rPr>
        <w:t>These results demonstrate that storage temperature strongly influenced coconut oil stability (Fig 2). Higher temperatures accelerated oxidation and hydrolysis, leading to faster quality deterioration and a shorter shelf life. Conversely, lower storage temperatures effectively slowed deterioration kinetics and prolonged product stability. The extended shelf life observed after the addition of tamarind leaf extract confirms the effectiveness of natural antioxidants in delaying oxidative degradation in edible oils.</w:t>
      </w:r>
    </w:p>
    <w:p w14:paraId="5AC903C8"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6CA301C5"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4487D4E8"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29FFA951"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500F4485" w14:textId="77777777" w:rsidR="00422B98" w:rsidRPr="00422B98" w:rsidRDefault="00422B98" w:rsidP="00422B98">
      <w:pPr>
        <w:pBdr>
          <w:top w:val="nil"/>
          <w:left w:val="nil"/>
          <w:bottom w:val="nil"/>
          <w:right w:val="nil"/>
          <w:between w:val="nil"/>
        </w:pBdr>
        <w:ind w:firstLine="720"/>
        <w:jc w:val="both"/>
        <w:rPr>
          <w:color w:val="000000"/>
          <w:sz w:val="22"/>
          <w:szCs w:val="22"/>
        </w:rPr>
      </w:pPr>
      <w:r w:rsidRPr="00422B98">
        <w:rPr>
          <w:noProof/>
          <w:color w:val="000000"/>
          <w:sz w:val="22"/>
          <w:szCs w:val="22"/>
        </w:rPr>
        <w:drawing>
          <wp:anchor distT="0" distB="0" distL="114300" distR="114300" simplePos="0" relativeHeight="251663360" behindDoc="0" locked="0" layoutInCell="1" allowOverlap="1" wp14:anchorId="7E5B2FDD" wp14:editId="0B482427">
            <wp:simplePos x="0" y="0"/>
            <wp:positionH relativeFrom="page">
              <wp:posOffset>1665605</wp:posOffset>
            </wp:positionH>
            <wp:positionV relativeFrom="paragraph">
              <wp:posOffset>74930</wp:posOffset>
            </wp:positionV>
            <wp:extent cx="4294505" cy="2264410"/>
            <wp:effectExtent l="0" t="0" r="0" b="2540"/>
            <wp:wrapNone/>
            <wp:docPr id="3293933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94505" cy="2264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C46FB7"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2EFEB1AC"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7BF2E66D"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307EE6B9"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0F661C41"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5B56A34F"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25C3E24C"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66CD33DB"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694B45E0"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07C4A31B"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1DB1F889"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4F985C50"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231A39EA"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402C791C" w14:textId="77777777" w:rsidR="00422B98" w:rsidRPr="00422B98" w:rsidRDefault="00422B98" w:rsidP="00422B98">
      <w:pPr>
        <w:pBdr>
          <w:top w:val="nil"/>
          <w:left w:val="nil"/>
          <w:bottom w:val="nil"/>
          <w:right w:val="nil"/>
          <w:between w:val="nil"/>
        </w:pBdr>
        <w:jc w:val="both"/>
        <w:rPr>
          <w:color w:val="000000"/>
          <w:sz w:val="22"/>
          <w:szCs w:val="22"/>
        </w:rPr>
      </w:pPr>
    </w:p>
    <w:p w14:paraId="052EFC5F" w14:textId="06B982F3" w:rsidR="00422B98" w:rsidRPr="00422B98" w:rsidRDefault="00422B98" w:rsidP="00DD0AC8">
      <w:pPr>
        <w:pBdr>
          <w:top w:val="nil"/>
          <w:left w:val="nil"/>
          <w:bottom w:val="nil"/>
          <w:right w:val="nil"/>
          <w:between w:val="nil"/>
        </w:pBdr>
        <w:jc w:val="center"/>
        <w:rPr>
          <w:color w:val="000000"/>
          <w:sz w:val="22"/>
          <w:szCs w:val="22"/>
        </w:rPr>
      </w:pPr>
      <w:r w:rsidRPr="00422B98">
        <w:rPr>
          <w:b/>
          <w:bCs/>
          <w:sz w:val="18"/>
          <w:szCs w:val="18"/>
        </w:rPr>
        <w:t>Figure 2.</w:t>
      </w:r>
      <w:r w:rsidRPr="00422B98">
        <w:rPr>
          <w:sz w:val="18"/>
          <w:szCs w:val="18"/>
        </w:rPr>
        <w:t xml:space="preserve"> The Relationship between Storage Duration and Quality Degradations for First-Order Kinetics</w:t>
      </w:r>
    </w:p>
    <w:p w14:paraId="769469C7" w14:textId="77777777" w:rsidR="00422B98" w:rsidRPr="00422B98" w:rsidRDefault="00422B98" w:rsidP="00422B98">
      <w:pPr>
        <w:pBdr>
          <w:top w:val="nil"/>
          <w:left w:val="nil"/>
          <w:bottom w:val="nil"/>
          <w:right w:val="nil"/>
          <w:between w:val="nil"/>
        </w:pBdr>
        <w:ind w:firstLine="720"/>
        <w:jc w:val="both"/>
        <w:rPr>
          <w:color w:val="000000"/>
          <w:sz w:val="22"/>
          <w:szCs w:val="22"/>
        </w:rPr>
      </w:pPr>
    </w:p>
    <w:p w14:paraId="36AAEA02"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t>Overall, this study demonstrates that tamarind leaf ethanol extract exhibits significant antioxidant activity and enhances the physicochemical stability and storage performance of coconut oil. Among the tested formulations, the 3% extract concentration provided the most effective protection against oxidative deterioration and produced the longest shelf life under all storage conditions. These findings support the growing use of plant-derived antioxidants as safer, more sustainable alternatives to synthetic food preservatives.</w:t>
      </w:r>
    </w:p>
    <w:p w14:paraId="55E02C29" w14:textId="77777777" w:rsidR="00422B98" w:rsidRPr="00DD0AC8" w:rsidRDefault="00422B98" w:rsidP="00422B98">
      <w:pPr>
        <w:pBdr>
          <w:top w:val="nil"/>
          <w:left w:val="nil"/>
          <w:bottom w:val="nil"/>
          <w:right w:val="nil"/>
          <w:between w:val="nil"/>
        </w:pBdr>
        <w:ind w:firstLine="720"/>
        <w:jc w:val="both"/>
        <w:rPr>
          <w:color w:val="000000"/>
          <w:sz w:val="22"/>
          <w:szCs w:val="22"/>
        </w:rPr>
      </w:pPr>
      <w:r w:rsidRPr="00DD0AC8">
        <w:rPr>
          <w:sz w:val="22"/>
          <w:szCs w:val="22"/>
        </w:rPr>
        <w:t>Compared with previous studies that primarily reported the antioxidant activity of tamarind leaf extract using in vitro assays, the present study extends current knowledge by evaluating its practical performance in a lipid-based food system through simultaneous assessment of physicochemical quality parameters and Arrhenius-based shelf-life prediction. This integrated evaluation provides broader insight into the applicability of tamarind leaf extract for edible oil preservation.</w:t>
      </w:r>
    </w:p>
    <w:p w14:paraId="00665EFF" w14:textId="77777777" w:rsidR="00DD0AC8" w:rsidRDefault="00DD0AC8" w:rsidP="00422B98">
      <w:pPr>
        <w:pBdr>
          <w:top w:val="nil"/>
          <w:left w:val="nil"/>
          <w:bottom w:val="nil"/>
          <w:right w:val="nil"/>
          <w:between w:val="nil"/>
        </w:pBdr>
        <w:jc w:val="both"/>
        <w:rPr>
          <w:b/>
          <w:color w:val="000000"/>
          <w:sz w:val="22"/>
          <w:szCs w:val="22"/>
        </w:rPr>
      </w:pPr>
    </w:p>
    <w:p w14:paraId="32EB766E" w14:textId="77777777" w:rsidR="006E39B9" w:rsidRDefault="006E39B9" w:rsidP="00422B98">
      <w:pPr>
        <w:pBdr>
          <w:top w:val="nil"/>
          <w:left w:val="nil"/>
          <w:bottom w:val="nil"/>
          <w:right w:val="nil"/>
          <w:between w:val="nil"/>
        </w:pBdr>
        <w:jc w:val="both"/>
        <w:rPr>
          <w:b/>
          <w:color w:val="000000"/>
          <w:sz w:val="22"/>
          <w:szCs w:val="22"/>
        </w:rPr>
      </w:pPr>
    </w:p>
    <w:p w14:paraId="072A4E7A" w14:textId="15E15429" w:rsidR="00422B98" w:rsidRPr="00DD0AC8" w:rsidRDefault="00422B98" w:rsidP="00422B98">
      <w:pPr>
        <w:pBdr>
          <w:top w:val="nil"/>
          <w:left w:val="nil"/>
          <w:bottom w:val="nil"/>
          <w:right w:val="nil"/>
          <w:between w:val="nil"/>
        </w:pBdr>
        <w:jc w:val="both"/>
        <w:rPr>
          <w:b/>
          <w:color w:val="000000"/>
          <w:sz w:val="22"/>
          <w:szCs w:val="22"/>
        </w:rPr>
      </w:pPr>
      <w:r w:rsidRPr="00DD0AC8">
        <w:rPr>
          <w:b/>
          <w:color w:val="000000"/>
          <w:sz w:val="22"/>
          <w:szCs w:val="22"/>
        </w:rPr>
        <w:t>CONCLUSIONS</w:t>
      </w:r>
    </w:p>
    <w:p w14:paraId="1D7025CA" w14:textId="77777777" w:rsidR="00422B98" w:rsidRPr="00DD0AC8" w:rsidRDefault="00422B98" w:rsidP="00422B98">
      <w:pPr>
        <w:pStyle w:val="pdq2pgselectionanchorcontainer"/>
        <w:spacing w:before="0" w:beforeAutospacing="0" w:after="0" w:afterAutospacing="0"/>
        <w:ind w:firstLine="720"/>
        <w:jc w:val="both"/>
        <w:rPr>
          <w:sz w:val="22"/>
          <w:szCs w:val="22"/>
        </w:rPr>
      </w:pPr>
      <w:r w:rsidRPr="00DD0AC8">
        <w:rPr>
          <w:sz w:val="22"/>
          <w:szCs w:val="22"/>
        </w:rPr>
        <w:t>This study demonstrated that tamarind leaf ethanol extract (</w:t>
      </w:r>
      <w:r w:rsidRPr="00DD0AC8">
        <w:rPr>
          <w:rStyle w:val="Emphasis"/>
          <w:sz w:val="22"/>
          <w:szCs w:val="22"/>
        </w:rPr>
        <w:t>Tamarindus indica</w:t>
      </w:r>
      <w:r w:rsidRPr="00DD0AC8">
        <w:rPr>
          <w:sz w:val="22"/>
          <w:szCs w:val="22"/>
        </w:rPr>
        <w:t xml:space="preserve"> L.) has strong potential as a natural antioxidant to improve the physicochemical stability and extend the shelf life of coconut oil. The extract exhibited moderate antioxidant activity due to the presence of flavonoids, tannins, alkaloids, and steroids, which effectively inhibited oxidative and hydrolytic deterioration during storage. Among the tested formulations, the 3% extract concentration showed the best preservation performance by reducing moisture content, peroxide value, and free fatty acid formation while increasing the saponification value and extending the predicted shelf life of coconut oil.</w:t>
      </w:r>
    </w:p>
    <w:p w14:paraId="72668AD3" w14:textId="77777777" w:rsidR="00422B98" w:rsidRPr="00DD0AC8" w:rsidRDefault="00422B98" w:rsidP="00422B98">
      <w:pPr>
        <w:pStyle w:val="NormalWeb"/>
        <w:spacing w:before="0" w:beforeAutospacing="0" w:after="0" w:afterAutospacing="0"/>
        <w:ind w:firstLine="720"/>
        <w:jc w:val="both"/>
        <w:rPr>
          <w:b/>
          <w:bCs/>
          <w:sz w:val="22"/>
          <w:szCs w:val="22"/>
        </w:rPr>
      </w:pPr>
      <w:r w:rsidRPr="00DD0AC8">
        <w:rPr>
          <w:sz w:val="22"/>
          <w:szCs w:val="22"/>
        </w:rPr>
        <w:t xml:space="preserve">The findings highlight the potential application of tamarind leaf extract as an environmentally friendly natural antioxidant for edible oil preservation. This study also contributes to food chemistry and natural product research by integrating phytochemical screening, DPPH antioxidant evaluation, physicochemical quality assessment, and Arrhenius-based shelf-life prediction within a single experimental framework. </w:t>
      </w:r>
      <w:r w:rsidRPr="00DD0AC8">
        <w:rPr>
          <w:rStyle w:val="Strong"/>
          <w:b w:val="0"/>
          <w:bCs w:val="0"/>
          <w:sz w:val="22"/>
          <w:szCs w:val="22"/>
        </w:rPr>
        <w:t>However, the absence of a synthetic antioxidant control (e.g., BHT or BHA) and the moderate goodness-of-fit of the Arrhenius model indicate that the results should be interpreted within the limitations of the present study.</w:t>
      </w:r>
    </w:p>
    <w:p w14:paraId="148F16A7" w14:textId="197C3741" w:rsidR="00422B98" w:rsidRPr="00DD0AC8" w:rsidRDefault="00422B98" w:rsidP="00DD0AC8">
      <w:pPr>
        <w:pStyle w:val="NormalWeb"/>
        <w:spacing w:before="0" w:beforeAutospacing="0" w:after="0" w:afterAutospacing="0"/>
        <w:ind w:firstLine="720"/>
        <w:jc w:val="both"/>
        <w:rPr>
          <w:rStyle w:val="Strong"/>
          <w:b w:val="0"/>
          <w:bCs w:val="0"/>
          <w:sz w:val="22"/>
          <w:szCs w:val="22"/>
        </w:rPr>
      </w:pPr>
      <w:r w:rsidRPr="00DD0AC8">
        <w:rPr>
          <w:rStyle w:val="Strong"/>
          <w:b w:val="0"/>
          <w:bCs w:val="0"/>
          <w:sz w:val="22"/>
          <w:szCs w:val="22"/>
        </w:rPr>
        <w:t>Future studies are recommended to include direct comparisons with commercial synthetic antioxidants, extend the DPPH concentration range to obtain an interpolated IC₅₀ value, characterize the major phenolic constituents using chromatographic techniques such as HPLC or LC–MS, and evaluate alternative formulation and shelf-life prediction approaches to further validate the practical application of tamarind leaf extract in edible oil preservation.</w:t>
      </w:r>
    </w:p>
    <w:p w14:paraId="41CD24EB" w14:textId="79CBCE88" w:rsidR="00422B98" w:rsidRPr="00DD0AC8" w:rsidRDefault="00422B98" w:rsidP="00422B98">
      <w:pPr>
        <w:pBdr>
          <w:top w:val="nil"/>
          <w:left w:val="nil"/>
          <w:bottom w:val="nil"/>
          <w:right w:val="nil"/>
          <w:between w:val="nil"/>
        </w:pBdr>
        <w:ind w:firstLine="720"/>
        <w:jc w:val="both"/>
        <w:rPr>
          <w:color w:val="000000"/>
          <w:sz w:val="22"/>
          <w:szCs w:val="22"/>
        </w:rPr>
      </w:pPr>
      <w:r w:rsidRPr="00DD0AC8">
        <w:rPr>
          <w:color w:val="000000"/>
          <w:sz w:val="22"/>
          <w:szCs w:val="22"/>
        </w:rPr>
        <w:br/>
      </w:r>
      <w:r w:rsidRPr="00DD0AC8">
        <w:rPr>
          <w:b/>
          <w:color w:val="000000"/>
          <w:sz w:val="22"/>
          <w:szCs w:val="22"/>
        </w:rPr>
        <w:t>ACKNOWLEDGMENTS</w:t>
      </w:r>
    </w:p>
    <w:p w14:paraId="4F4C7969" w14:textId="760E116D" w:rsidR="00422B98" w:rsidRPr="00DD0AC8" w:rsidRDefault="00422B98" w:rsidP="00422B98">
      <w:pPr>
        <w:ind w:firstLine="567"/>
        <w:jc w:val="both"/>
        <w:rPr>
          <w:color w:val="000000"/>
          <w:sz w:val="22"/>
          <w:szCs w:val="22"/>
        </w:rPr>
      </w:pPr>
      <w:r w:rsidRPr="00DD0AC8">
        <w:rPr>
          <w:color w:val="000000"/>
          <w:sz w:val="22"/>
          <w:szCs w:val="22"/>
        </w:rPr>
        <w:t>The authors sincerely thank the leadership of Universitas Islam Negeri for their support during this research. Appreciation is also extended to all contributors and to the Chemistry Laboratory for providing the facilities and technical support necessary for this study.</w:t>
      </w:r>
    </w:p>
    <w:p w14:paraId="752C3E34" w14:textId="77777777" w:rsidR="002B2B67" w:rsidRPr="00DD0AC8" w:rsidRDefault="002B2B67" w:rsidP="00577FAF">
      <w:pPr>
        <w:jc w:val="both"/>
        <w:rPr>
          <w:sz w:val="22"/>
          <w:szCs w:val="22"/>
        </w:rPr>
      </w:pPr>
    </w:p>
    <w:p w14:paraId="3374DCA0" w14:textId="77777777" w:rsidR="00DD0AC8" w:rsidRDefault="00DD0AC8" w:rsidP="002B2B67">
      <w:pPr>
        <w:pBdr>
          <w:top w:val="nil"/>
          <w:left w:val="nil"/>
          <w:bottom w:val="nil"/>
          <w:right w:val="nil"/>
          <w:between w:val="nil"/>
        </w:pBdr>
        <w:jc w:val="both"/>
        <w:rPr>
          <w:b/>
          <w:color w:val="000000"/>
          <w:sz w:val="22"/>
          <w:szCs w:val="22"/>
        </w:rPr>
      </w:pPr>
    </w:p>
    <w:p w14:paraId="32AB2844" w14:textId="4666AB4A" w:rsidR="009A032D" w:rsidRPr="00DD0AC8" w:rsidRDefault="002B2B67" w:rsidP="002B2B67">
      <w:pPr>
        <w:pBdr>
          <w:top w:val="nil"/>
          <w:left w:val="nil"/>
          <w:bottom w:val="nil"/>
          <w:right w:val="nil"/>
          <w:between w:val="nil"/>
        </w:pBdr>
        <w:jc w:val="both"/>
        <w:rPr>
          <w:b/>
          <w:color w:val="000000"/>
          <w:sz w:val="22"/>
          <w:szCs w:val="22"/>
        </w:rPr>
      </w:pPr>
      <w:r w:rsidRPr="00DD0AC8">
        <w:rPr>
          <w:b/>
          <w:color w:val="000000"/>
          <w:sz w:val="22"/>
          <w:szCs w:val="22"/>
        </w:rPr>
        <w:t>REFERENCES</w:t>
      </w:r>
    </w:p>
    <w:p w14:paraId="334DF533" w14:textId="77777777" w:rsidR="00422B98" w:rsidRPr="00DD0AC8" w:rsidRDefault="00422B98" w:rsidP="00DD0AC8">
      <w:pPr>
        <w:widowControl w:val="0"/>
        <w:autoSpaceDE w:val="0"/>
        <w:autoSpaceDN w:val="0"/>
        <w:adjustRightInd w:val="0"/>
        <w:ind w:left="426" w:hanging="426"/>
        <w:jc w:val="both"/>
        <w:rPr>
          <w:sz w:val="22"/>
          <w:szCs w:val="22"/>
        </w:rPr>
      </w:pPr>
      <w:r w:rsidRPr="00DD0AC8">
        <w:rPr>
          <w:sz w:val="22"/>
          <w:szCs w:val="22"/>
        </w:rPr>
        <w:t xml:space="preserve">Badan </w:t>
      </w:r>
      <w:proofErr w:type="spellStart"/>
      <w:r w:rsidRPr="00DD0AC8">
        <w:rPr>
          <w:sz w:val="22"/>
          <w:szCs w:val="22"/>
        </w:rPr>
        <w:t>Standardisasi</w:t>
      </w:r>
      <w:proofErr w:type="spellEnd"/>
      <w:r w:rsidRPr="00DD0AC8">
        <w:rPr>
          <w:sz w:val="22"/>
          <w:szCs w:val="22"/>
        </w:rPr>
        <w:t xml:space="preserve"> Nasional (BSN). (2013). SNI 3741:2013 </w:t>
      </w:r>
      <w:proofErr w:type="spellStart"/>
      <w:r w:rsidRPr="00DD0AC8">
        <w:rPr>
          <w:sz w:val="22"/>
          <w:szCs w:val="22"/>
        </w:rPr>
        <w:t>Minyak</w:t>
      </w:r>
      <w:proofErr w:type="spellEnd"/>
      <w:r w:rsidRPr="00DD0AC8">
        <w:rPr>
          <w:sz w:val="22"/>
          <w:szCs w:val="22"/>
        </w:rPr>
        <w:t xml:space="preserve"> Goreng. Jakarta: Badan </w:t>
      </w:r>
      <w:proofErr w:type="spellStart"/>
      <w:r w:rsidRPr="00DD0AC8">
        <w:rPr>
          <w:sz w:val="22"/>
          <w:szCs w:val="22"/>
        </w:rPr>
        <w:t>Standardisasi</w:t>
      </w:r>
      <w:proofErr w:type="spellEnd"/>
      <w:r w:rsidRPr="00DD0AC8">
        <w:rPr>
          <w:sz w:val="22"/>
          <w:szCs w:val="22"/>
        </w:rPr>
        <w:t xml:space="preserve"> Nasional.</w:t>
      </w:r>
    </w:p>
    <w:p w14:paraId="50C46CC9" w14:textId="77777777" w:rsidR="00422B98" w:rsidRPr="00DD0AC8" w:rsidRDefault="00422B98" w:rsidP="00DD0AC8">
      <w:pPr>
        <w:widowControl w:val="0"/>
        <w:autoSpaceDE w:val="0"/>
        <w:autoSpaceDN w:val="0"/>
        <w:adjustRightInd w:val="0"/>
        <w:ind w:left="426" w:hanging="426"/>
        <w:jc w:val="both"/>
        <w:rPr>
          <w:color w:val="000000"/>
          <w:sz w:val="22"/>
          <w:szCs w:val="22"/>
        </w:rPr>
      </w:pPr>
      <w:r w:rsidRPr="00DD0AC8">
        <w:rPr>
          <w:sz w:val="22"/>
          <w:szCs w:val="22"/>
        </w:rPr>
        <w:t xml:space="preserve">Badan </w:t>
      </w:r>
      <w:proofErr w:type="spellStart"/>
      <w:r w:rsidRPr="00DD0AC8">
        <w:rPr>
          <w:sz w:val="22"/>
          <w:szCs w:val="22"/>
        </w:rPr>
        <w:t>Standardisasi</w:t>
      </w:r>
      <w:proofErr w:type="spellEnd"/>
      <w:r w:rsidRPr="00DD0AC8">
        <w:rPr>
          <w:sz w:val="22"/>
          <w:szCs w:val="22"/>
        </w:rPr>
        <w:t xml:space="preserve"> Nasional (BSN). (2011). SNI 2902:2011 </w:t>
      </w:r>
      <w:proofErr w:type="spellStart"/>
      <w:r w:rsidRPr="00DD0AC8">
        <w:rPr>
          <w:sz w:val="22"/>
          <w:szCs w:val="22"/>
        </w:rPr>
        <w:t>Minyak</w:t>
      </w:r>
      <w:proofErr w:type="spellEnd"/>
      <w:r w:rsidRPr="00DD0AC8">
        <w:rPr>
          <w:sz w:val="22"/>
          <w:szCs w:val="22"/>
        </w:rPr>
        <w:t xml:space="preserve"> Goreng. Jakarta: Badan </w:t>
      </w:r>
      <w:proofErr w:type="spellStart"/>
      <w:r w:rsidRPr="00DD0AC8">
        <w:rPr>
          <w:sz w:val="22"/>
          <w:szCs w:val="22"/>
        </w:rPr>
        <w:t>Standardisasi</w:t>
      </w:r>
      <w:proofErr w:type="spellEnd"/>
      <w:r w:rsidRPr="00DD0AC8">
        <w:rPr>
          <w:sz w:val="22"/>
          <w:szCs w:val="22"/>
        </w:rPr>
        <w:t xml:space="preserve"> Nasional</w:t>
      </w:r>
    </w:p>
    <w:p w14:paraId="1A8E2AE5"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color w:val="000000"/>
          <w:sz w:val="22"/>
          <w:szCs w:val="22"/>
        </w:rPr>
        <w:fldChar w:fldCharType="begin" w:fldLock="1"/>
      </w:r>
      <w:r w:rsidRPr="00DD0AC8">
        <w:rPr>
          <w:color w:val="000000"/>
          <w:sz w:val="22"/>
          <w:szCs w:val="22"/>
        </w:rPr>
        <w:instrText xml:space="preserve">ADDIN Mendeley Bibliography CSL_BIBLIOGRAPHY </w:instrText>
      </w:r>
      <w:r w:rsidRPr="00DD0AC8">
        <w:rPr>
          <w:color w:val="000000"/>
          <w:sz w:val="22"/>
          <w:szCs w:val="22"/>
        </w:rPr>
        <w:fldChar w:fldCharType="separate"/>
      </w:r>
      <w:r w:rsidRPr="00DD0AC8">
        <w:rPr>
          <w:noProof/>
          <w:sz w:val="22"/>
          <w:szCs w:val="22"/>
        </w:rPr>
        <w:t xml:space="preserve">Dimzon, I. K. D., Valde, M. F., Santos, J. E. R., Garrovillas, M. J., Dejarme, H. M., Remollo, J. M. W., &amp; Dayrit, F. M. (2011). </w:t>
      </w:r>
      <w:r w:rsidRPr="00DD0AC8">
        <w:rPr>
          <w:i/>
          <w:iCs/>
          <w:noProof/>
          <w:sz w:val="22"/>
          <w:szCs w:val="22"/>
        </w:rPr>
        <w:t>Physico-Chemical and Microbiological Parameters in the Deterioration of Virgin Coconut Oil</w:t>
      </w:r>
      <w:r w:rsidRPr="00DD0AC8">
        <w:rPr>
          <w:noProof/>
          <w:sz w:val="22"/>
          <w:szCs w:val="22"/>
        </w:rPr>
        <w:t xml:space="preserve">. </w:t>
      </w:r>
      <w:r w:rsidRPr="00DD0AC8">
        <w:rPr>
          <w:i/>
          <w:iCs/>
          <w:noProof/>
          <w:sz w:val="22"/>
          <w:szCs w:val="22"/>
        </w:rPr>
        <w:t>140</w:t>
      </w:r>
      <w:r w:rsidRPr="00DD0AC8">
        <w:rPr>
          <w:noProof/>
          <w:sz w:val="22"/>
          <w:szCs w:val="22"/>
        </w:rPr>
        <w:t>(1), 89–103. https://archium.ateneo.edu/cgi/viewcontent.cgi?article=1147&amp;context=chemistry-faculty-pubs</w:t>
      </w:r>
    </w:p>
    <w:p w14:paraId="5B105ECB"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Din, S. U., Khan, Z., Hussain, E., Waqas, M., Talha, M., &amp; Fayaz, S. (2024). </w:t>
      </w:r>
      <w:r w:rsidRPr="00DD0AC8">
        <w:rPr>
          <w:i/>
          <w:iCs/>
          <w:noProof/>
          <w:sz w:val="22"/>
          <w:szCs w:val="22"/>
        </w:rPr>
        <w:t>Qualitative evaluation of phytochemicals in tamarix aphylla: a prelimiary investigaation</w:t>
      </w:r>
      <w:r w:rsidRPr="00DD0AC8">
        <w:rPr>
          <w:noProof/>
          <w:sz w:val="22"/>
          <w:szCs w:val="22"/>
        </w:rPr>
        <w:t xml:space="preserve">. </w:t>
      </w:r>
      <w:r w:rsidRPr="00DD0AC8">
        <w:rPr>
          <w:i/>
          <w:iCs/>
          <w:noProof/>
          <w:sz w:val="22"/>
          <w:szCs w:val="22"/>
        </w:rPr>
        <w:t>2</w:t>
      </w:r>
      <w:r w:rsidRPr="00DD0AC8">
        <w:rPr>
          <w:noProof/>
          <w:sz w:val="22"/>
          <w:szCs w:val="22"/>
        </w:rPr>
        <w:t>(1 (Life)), 81–87. https://doi.org/10.71000/adl5e3</w:t>
      </w:r>
    </w:p>
    <w:p w14:paraId="1E117627"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Garba, Y., Bello, N. U., Bashir, M., &amp; Mohammed, S. Y. (2023). </w:t>
      </w:r>
      <w:r w:rsidRPr="00DD0AC8">
        <w:rPr>
          <w:i/>
          <w:iCs/>
          <w:noProof/>
          <w:sz w:val="22"/>
          <w:szCs w:val="22"/>
        </w:rPr>
        <w:t>In vitro and in vivo analysis of the antioxidant potentials of methanolic extract of Tamarindus indica leaves</w:t>
      </w:r>
      <w:r w:rsidRPr="00DD0AC8">
        <w:rPr>
          <w:noProof/>
          <w:sz w:val="22"/>
          <w:szCs w:val="22"/>
        </w:rPr>
        <w:t xml:space="preserve">. </w:t>
      </w:r>
      <w:r w:rsidRPr="00DD0AC8">
        <w:rPr>
          <w:i/>
          <w:iCs/>
          <w:noProof/>
          <w:sz w:val="22"/>
          <w:szCs w:val="22"/>
        </w:rPr>
        <w:t>38</w:t>
      </w:r>
      <w:r w:rsidRPr="00DD0AC8">
        <w:rPr>
          <w:noProof/>
          <w:sz w:val="22"/>
          <w:szCs w:val="22"/>
        </w:rPr>
        <w:t>(3). https://doi.org/10.4314/njbmb.v38i3.1</w:t>
      </w:r>
    </w:p>
    <w:p w14:paraId="1EEE78EE"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Gunstone, F. D. (1984). Reaction of oxygen and unsaturated fatty acids. </w:t>
      </w:r>
      <w:r w:rsidRPr="00DD0AC8">
        <w:rPr>
          <w:i/>
          <w:iCs/>
          <w:noProof/>
          <w:sz w:val="22"/>
          <w:szCs w:val="22"/>
        </w:rPr>
        <w:t>Journal of the American Oil Chemists’ Society</w:t>
      </w:r>
      <w:r w:rsidRPr="00DD0AC8">
        <w:rPr>
          <w:noProof/>
          <w:sz w:val="22"/>
          <w:szCs w:val="22"/>
        </w:rPr>
        <w:t xml:space="preserve">, </w:t>
      </w:r>
      <w:r w:rsidRPr="00DD0AC8">
        <w:rPr>
          <w:i/>
          <w:iCs/>
          <w:noProof/>
          <w:sz w:val="22"/>
          <w:szCs w:val="22"/>
        </w:rPr>
        <w:t>61</w:t>
      </w:r>
      <w:r w:rsidRPr="00DD0AC8">
        <w:rPr>
          <w:noProof/>
          <w:sz w:val="22"/>
          <w:szCs w:val="22"/>
        </w:rPr>
        <w:t>(2), 441–447. https://doi.org/10.1007/BF02678811</w:t>
      </w:r>
    </w:p>
    <w:p w14:paraId="3DA2163B" w14:textId="61DAC354"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Hasany, M. R., Afrianto, E., &amp; Pratama, I. (2017). </w:t>
      </w:r>
      <w:r w:rsidRPr="00DD0AC8">
        <w:rPr>
          <w:i/>
          <w:iCs/>
          <w:noProof/>
          <w:sz w:val="22"/>
          <w:szCs w:val="22"/>
        </w:rPr>
        <w:t>Pendugaan Umur Simpan Menggunakan Metode Accelerated Shelf Life Test ( Aslt ) Model Arrhenius Pada Fruit Nori</w:t>
      </w:r>
      <w:r w:rsidRPr="00DD0AC8">
        <w:rPr>
          <w:noProof/>
          <w:sz w:val="22"/>
          <w:szCs w:val="22"/>
        </w:rPr>
        <w:t xml:space="preserve">. </w:t>
      </w:r>
      <w:r w:rsidRPr="00DD0AC8">
        <w:rPr>
          <w:i/>
          <w:iCs/>
          <w:noProof/>
          <w:sz w:val="22"/>
          <w:szCs w:val="22"/>
        </w:rPr>
        <w:t>VIII</w:t>
      </w:r>
      <w:r w:rsidRPr="00DD0AC8">
        <w:rPr>
          <w:noProof/>
          <w:sz w:val="22"/>
          <w:szCs w:val="22"/>
        </w:rPr>
        <w:t>(1), 48–55.</w:t>
      </w:r>
    </w:p>
    <w:p w14:paraId="0E3BB220"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Husain, P., Risfianty, D. K., Ihwan, K., Atika, B. N. D., &amp; Ihsan, Muhammad SohibulDewi, I. R. (2022). identifikasi kandungan.pdf. </w:t>
      </w:r>
      <w:r w:rsidRPr="00DD0AC8">
        <w:rPr>
          <w:i/>
          <w:iCs/>
          <w:noProof/>
          <w:sz w:val="22"/>
          <w:szCs w:val="22"/>
        </w:rPr>
        <w:t>Jurnal Inovasi Pendidikan Dan Sains</w:t>
      </w:r>
      <w:r w:rsidRPr="00DD0AC8">
        <w:rPr>
          <w:noProof/>
          <w:sz w:val="22"/>
          <w:szCs w:val="22"/>
        </w:rPr>
        <w:t xml:space="preserve">, </w:t>
      </w:r>
      <w:r w:rsidRPr="00DD0AC8">
        <w:rPr>
          <w:i/>
          <w:iCs/>
          <w:noProof/>
          <w:sz w:val="22"/>
          <w:szCs w:val="22"/>
        </w:rPr>
        <w:t>3</w:t>
      </w:r>
      <w:r w:rsidRPr="00DD0AC8">
        <w:rPr>
          <w:noProof/>
          <w:sz w:val="22"/>
          <w:szCs w:val="22"/>
        </w:rPr>
        <w:t>(2), 78–82.</w:t>
      </w:r>
    </w:p>
    <w:p w14:paraId="232D1D30"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Ibsch, R. B. M., Reiter, M. G. R., Bertoli, S. L., &amp; de Souza, C. K. (2020). Study of pure and combined antioxidants for replacing TBHQ in soybean oil packed in pet bottles. </w:t>
      </w:r>
      <w:r w:rsidRPr="00DD0AC8">
        <w:rPr>
          <w:i/>
          <w:iCs/>
          <w:noProof/>
          <w:sz w:val="22"/>
          <w:szCs w:val="22"/>
        </w:rPr>
        <w:t>Journal of Food Science and Technology-Mysore</w:t>
      </w:r>
      <w:r w:rsidRPr="00DD0AC8">
        <w:rPr>
          <w:noProof/>
          <w:sz w:val="22"/>
          <w:szCs w:val="22"/>
        </w:rPr>
        <w:t xml:space="preserve">, </w:t>
      </w:r>
      <w:r w:rsidRPr="00DD0AC8">
        <w:rPr>
          <w:i/>
          <w:iCs/>
          <w:noProof/>
          <w:sz w:val="22"/>
          <w:szCs w:val="22"/>
        </w:rPr>
        <w:t>57</w:t>
      </w:r>
      <w:r w:rsidRPr="00DD0AC8">
        <w:rPr>
          <w:noProof/>
          <w:sz w:val="22"/>
          <w:szCs w:val="22"/>
        </w:rPr>
        <w:t>(3), 821–831. https://doi.org/10.1007/S13197-019-04112-X</w:t>
      </w:r>
    </w:p>
    <w:p w14:paraId="14C590AF"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Indonesia, S. N., &amp; Nasional, B. S. (2013). </w:t>
      </w:r>
      <w:r w:rsidRPr="00DD0AC8">
        <w:rPr>
          <w:i/>
          <w:iCs/>
          <w:noProof/>
          <w:sz w:val="22"/>
          <w:szCs w:val="22"/>
        </w:rPr>
        <w:t>Minyak goreng</w:t>
      </w:r>
      <w:r w:rsidRPr="00DD0AC8">
        <w:rPr>
          <w:noProof/>
          <w:sz w:val="22"/>
          <w:szCs w:val="22"/>
        </w:rPr>
        <w:t>.</w:t>
      </w:r>
    </w:p>
    <w:p w14:paraId="7A4C3FAB"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Jusman, J., &amp; Syamsuddin, S. (2025). </w:t>
      </w:r>
      <w:r w:rsidRPr="00DD0AC8">
        <w:rPr>
          <w:i/>
          <w:iCs/>
          <w:noProof/>
          <w:sz w:val="22"/>
          <w:szCs w:val="22"/>
        </w:rPr>
        <w:t>Oxidative Stability and Shelf-Life Estimation of Virgin and Refined Coconut Oils during Storage: A Comparative Approach</w:t>
      </w:r>
      <w:r w:rsidRPr="00DD0AC8">
        <w:rPr>
          <w:noProof/>
          <w:sz w:val="22"/>
          <w:szCs w:val="22"/>
        </w:rPr>
        <w:t>. 745–759. https://doi.org/10.63680/hbhlpo982s3uj</w:t>
      </w:r>
    </w:p>
    <w:p w14:paraId="5A3388DE" w14:textId="471DAD22"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Kartikawati, E., Deswati, D. A., &amp; Pramudita, B. (2021). Uji Efek Analgetik Ekstrak Etanol Daun Asam Jawa (Tamarindus indica L) pada Mencit Putih Jantan Galur Swiss Webster. </w:t>
      </w:r>
      <w:r w:rsidRPr="00DD0AC8">
        <w:rPr>
          <w:i/>
          <w:iCs/>
          <w:noProof/>
          <w:sz w:val="22"/>
          <w:szCs w:val="22"/>
        </w:rPr>
        <w:t>Jurnal Sabdariffarma</w:t>
      </w:r>
      <w:r w:rsidRPr="00DD0AC8">
        <w:rPr>
          <w:noProof/>
          <w:sz w:val="22"/>
          <w:szCs w:val="22"/>
        </w:rPr>
        <w:t xml:space="preserve">, </w:t>
      </w:r>
      <w:r w:rsidRPr="00DD0AC8">
        <w:rPr>
          <w:i/>
          <w:iCs/>
          <w:noProof/>
          <w:sz w:val="22"/>
          <w:szCs w:val="22"/>
        </w:rPr>
        <w:t>9</w:t>
      </w:r>
      <w:r w:rsidRPr="00DD0AC8">
        <w:rPr>
          <w:noProof/>
          <w:sz w:val="22"/>
          <w:szCs w:val="22"/>
        </w:rPr>
        <w:t>(1), 11–18.</w:t>
      </w:r>
    </w:p>
    <w:p w14:paraId="06168F55"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Kerem, Z., Chetrit, D., Shoseyov, O., &amp; Regev-Shoshani, G. (2006). Protection of Lipids from Oxidation by Epicatechin, trans-Resveratrol, and Gallic and Caffeic Acids in Intestinal Model Systems. </w:t>
      </w:r>
      <w:r w:rsidRPr="00DD0AC8">
        <w:rPr>
          <w:i/>
          <w:iCs/>
          <w:noProof/>
          <w:sz w:val="22"/>
          <w:szCs w:val="22"/>
        </w:rPr>
        <w:t>Journal of Agricultural and Food Chemistry</w:t>
      </w:r>
      <w:r w:rsidRPr="00DD0AC8">
        <w:rPr>
          <w:noProof/>
          <w:sz w:val="22"/>
          <w:szCs w:val="22"/>
        </w:rPr>
        <w:t xml:space="preserve">, </w:t>
      </w:r>
      <w:r w:rsidRPr="00DD0AC8">
        <w:rPr>
          <w:i/>
          <w:iCs/>
          <w:noProof/>
          <w:sz w:val="22"/>
          <w:szCs w:val="22"/>
        </w:rPr>
        <w:t>54</w:t>
      </w:r>
      <w:r w:rsidRPr="00DD0AC8">
        <w:rPr>
          <w:noProof/>
          <w:sz w:val="22"/>
          <w:szCs w:val="22"/>
        </w:rPr>
        <w:t>(26), 10288–10293. https://doi.org/10.1021/JF0621828</w:t>
      </w:r>
    </w:p>
    <w:p w14:paraId="2A856BD3"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Kiromah, N. W., Husain, S., &amp; Rahayu, T. P. (2021). </w:t>
      </w:r>
      <w:r w:rsidRPr="00DD0AC8">
        <w:rPr>
          <w:i/>
          <w:iCs/>
          <w:noProof/>
          <w:sz w:val="22"/>
          <w:szCs w:val="22"/>
        </w:rPr>
        <w:t>Uji Aktivitas Antioksidan Ekstrak Etanol Daun Ganitri ( Elaeocarpus Ganitrus Roxb .) dengan Metode DPPH ( 2 , 2 Difenil-1-Pikrilhidazil ) Antioxidant Activity Test of Ganitri ( Elaeocarpus Ganitrus Roxb .) Leaf Ethanol Extract Using the DPPH ( 2 , 2 Difen</w:t>
      </w:r>
      <w:r w:rsidRPr="00DD0AC8">
        <w:rPr>
          <w:noProof/>
          <w:sz w:val="22"/>
          <w:szCs w:val="22"/>
        </w:rPr>
        <w:t xml:space="preserve">. </w:t>
      </w:r>
      <w:r w:rsidRPr="00DD0AC8">
        <w:rPr>
          <w:i/>
          <w:iCs/>
          <w:noProof/>
          <w:sz w:val="22"/>
          <w:szCs w:val="22"/>
        </w:rPr>
        <w:t>18</w:t>
      </w:r>
      <w:r w:rsidRPr="00DD0AC8">
        <w:rPr>
          <w:noProof/>
          <w:sz w:val="22"/>
          <w:szCs w:val="22"/>
        </w:rPr>
        <w:t>(1), 60–67.</w:t>
      </w:r>
    </w:p>
    <w:p w14:paraId="5B863D1E"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Lourençon, T. V, Altgen, M., Pääkkönen, T., Guccini, V., Penttilä, P. A., Kontturi, E., &amp; Rautkari, L. (2022). Effect of Moisture on Polymer Deconstruction in HCl Gas Hydrolysis of Wood. </w:t>
      </w:r>
      <w:r w:rsidRPr="00DD0AC8">
        <w:rPr>
          <w:i/>
          <w:iCs/>
          <w:noProof/>
          <w:sz w:val="22"/>
          <w:szCs w:val="22"/>
        </w:rPr>
        <w:t>ACS Omega</w:t>
      </w:r>
      <w:r w:rsidRPr="00DD0AC8">
        <w:rPr>
          <w:noProof/>
          <w:sz w:val="22"/>
          <w:szCs w:val="22"/>
        </w:rPr>
        <w:t xml:space="preserve">, </w:t>
      </w:r>
      <w:r w:rsidRPr="00DD0AC8">
        <w:rPr>
          <w:i/>
          <w:iCs/>
          <w:noProof/>
          <w:sz w:val="22"/>
          <w:szCs w:val="22"/>
        </w:rPr>
        <w:t>7</w:t>
      </w:r>
      <w:r w:rsidRPr="00DD0AC8">
        <w:rPr>
          <w:noProof/>
          <w:sz w:val="22"/>
          <w:szCs w:val="22"/>
        </w:rPr>
        <w:t>(8), 7074–7083. https://doi.org/10.1021/acsomega.1c06773</w:t>
      </w:r>
    </w:p>
    <w:p w14:paraId="47E37BF8"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Machado, M., Rodriguez-Alcala, L. M., Gomes, A. M., &amp; Pindtado, M. (2023). Vegetable oils oxidation: mechanisms, consequences and protective strategies. </w:t>
      </w:r>
      <w:r w:rsidRPr="00DD0AC8">
        <w:rPr>
          <w:i/>
          <w:iCs/>
          <w:noProof/>
          <w:sz w:val="22"/>
          <w:szCs w:val="22"/>
        </w:rPr>
        <w:t>Food Reviews International</w:t>
      </w:r>
      <w:r w:rsidRPr="00DD0AC8">
        <w:rPr>
          <w:noProof/>
          <w:sz w:val="22"/>
          <w:szCs w:val="22"/>
        </w:rPr>
        <w:t xml:space="preserve">, </w:t>
      </w:r>
      <w:r w:rsidRPr="00DD0AC8">
        <w:rPr>
          <w:i/>
          <w:iCs/>
          <w:noProof/>
          <w:sz w:val="22"/>
          <w:szCs w:val="22"/>
        </w:rPr>
        <w:t>39</w:t>
      </w:r>
      <w:r w:rsidRPr="00DD0AC8">
        <w:rPr>
          <w:noProof/>
          <w:sz w:val="22"/>
          <w:szCs w:val="22"/>
        </w:rPr>
        <w:t>(7), 4180–4197. https://doi.org/10.1080/87559129.2022.2026378</w:t>
      </w:r>
    </w:p>
    <w:p w14:paraId="7D17AB49"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Megawati, Sukmawati, &amp; Aminah. (2021). </w:t>
      </w:r>
      <w:r w:rsidRPr="00DD0AC8">
        <w:rPr>
          <w:i/>
          <w:iCs/>
          <w:noProof/>
          <w:sz w:val="22"/>
          <w:szCs w:val="22"/>
        </w:rPr>
        <w:t>Uji Aktivitas Antioksidan Fraksi Etil Asetat Daun Asam Jawa (Tamarindus Indica L) Dengan Metode DPPH(1,1 Diphenyl-2-Picrylhydrazil)</w:t>
      </w:r>
      <w:r w:rsidRPr="00DD0AC8">
        <w:rPr>
          <w:noProof/>
          <w:sz w:val="22"/>
          <w:szCs w:val="22"/>
        </w:rPr>
        <w:t xml:space="preserve">. </w:t>
      </w:r>
      <w:r w:rsidRPr="00DD0AC8">
        <w:rPr>
          <w:i/>
          <w:iCs/>
          <w:noProof/>
          <w:sz w:val="22"/>
          <w:szCs w:val="22"/>
        </w:rPr>
        <w:t>02</w:t>
      </w:r>
      <w:r w:rsidRPr="00DD0AC8">
        <w:rPr>
          <w:noProof/>
          <w:sz w:val="22"/>
          <w:szCs w:val="22"/>
        </w:rPr>
        <w:t>(02), 95–102.</w:t>
      </w:r>
    </w:p>
    <w:p w14:paraId="101319B1"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Momuat, L. I., Wuntu, A., Hatidja, D., Runtu, M., &amp; Lengkong, V. (2009). Kualitas Minyak Kelapa dengan Penambahan Ekstrak Tomat pada Beberapa Waktu Penyimpanana dan Suhu Pemanasan. </w:t>
      </w:r>
      <w:r w:rsidRPr="00DD0AC8">
        <w:rPr>
          <w:i/>
          <w:iCs/>
          <w:noProof/>
          <w:sz w:val="22"/>
          <w:szCs w:val="22"/>
        </w:rPr>
        <w:t>Jurnal Ilmiah Sains</w:t>
      </w:r>
      <w:r w:rsidRPr="00DD0AC8">
        <w:rPr>
          <w:noProof/>
          <w:sz w:val="22"/>
          <w:szCs w:val="22"/>
        </w:rPr>
        <w:t xml:space="preserve">, </w:t>
      </w:r>
      <w:r w:rsidRPr="00DD0AC8">
        <w:rPr>
          <w:i/>
          <w:iCs/>
          <w:noProof/>
          <w:sz w:val="22"/>
          <w:szCs w:val="22"/>
        </w:rPr>
        <w:t>9</w:t>
      </w:r>
      <w:r w:rsidRPr="00DD0AC8">
        <w:rPr>
          <w:noProof/>
          <w:sz w:val="22"/>
          <w:szCs w:val="22"/>
        </w:rPr>
        <w:t>(1).</w:t>
      </w:r>
    </w:p>
    <w:p w14:paraId="47CD4CAE"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Mukherjee, D., Deb, J., Deb, N. K., Saha, S., &amp; Chakraborty, S. (2024). Ethnopharmacological, Phytochemical and Pharmacological Review on Tamarindus indica L. </w:t>
      </w:r>
      <w:r w:rsidRPr="00DD0AC8">
        <w:rPr>
          <w:i/>
          <w:iCs/>
          <w:noProof/>
          <w:sz w:val="22"/>
          <w:szCs w:val="22"/>
        </w:rPr>
        <w:t>Journal of Pharmacognosy and Phytochemistry</w:t>
      </w:r>
      <w:r w:rsidRPr="00DD0AC8">
        <w:rPr>
          <w:noProof/>
          <w:sz w:val="22"/>
          <w:szCs w:val="22"/>
        </w:rPr>
        <w:t xml:space="preserve">, </w:t>
      </w:r>
      <w:r w:rsidRPr="00DD0AC8">
        <w:rPr>
          <w:i/>
          <w:iCs/>
          <w:noProof/>
          <w:sz w:val="22"/>
          <w:szCs w:val="22"/>
        </w:rPr>
        <w:t>13</w:t>
      </w:r>
      <w:r w:rsidRPr="00DD0AC8">
        <w:rPr>
          <w:noProof/>
          <w:sz w:val="22"/>
          <w:szCs w:val="22"/>
        </w:rPr>
        <w:t>(1), 120–126. https://doi.org/10.22271/phyto.2024.v13.i1b.14820</w:t>
      </w:r>
    </w:p>
    <w:p w14:paraId="2A037D96"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Nurhayati, G. S., Indriatmoko, D. D., Kristiadi, E. W., &amp; Fitriani, A. (2022). </w:t>
      </w:r>
      <w:r w:rsidRPr="00DD0AC8">
        <w:rPr>
          <w:i/>
          <w:iCs/>
          <w:noProof/>
          <w:sz w:val="22"/>
          <w:szCs w:val="22"/>
        </w:rPr>
        <w:t>Chimica et Natura Acta Antioxidant Activity of Nutmeg Mace ( Myristica fragrans ) Graded Extract</w:t>
      </w:r>
      <w:r w:rsidRPr="00DD0AC8">
        <w:rPr>
          <w:noProof/>
          <w:sz w:val="22"/>
          <w:szCs w:val="22"/>
        </w:rPr>
        <w:t xml:space="preserve">. </w:t>
      </w:r>
      <w:r w:rsidRPr="00DD0AC8">
        <w:rPr>
          <w:i/>
          <w:iCs/>
          <w:noProof/>
          <w:sz w:val="22"/>
          <w:szCs w:val="22"/>
        </w:rPr>
        <w:t>10</w:t>
      </w:r>
      <w:r w:rsidRPr="00DD0AC8">
        <w:rPr>
          <w:noProof/>
          <w:sz w:val="22"/>
          <w:szCs w:val="22"/>
        </w:rPr>
        <w:t>(1), 1–5.</w:t>
      </w:r>
    </w:p>
    <w:p w14:paraId="62F5BD2E"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Rejeki, D. P. (2018). </w:t>
      </w:r>
      <w:r w:rsidRPr="00DD0AC8">
        <w:rPr>
          <w:i/>
          <w:iCs/>
          <w:noProof/>
          <w:sz w:val="22"/>
          <w:szCs w:val="22"/>
        </w:rPr>
        <w:t>Lantanida Journal</w:t>
      </w:r>
      <w:r w:rsidRPr="00DD0AC8">
        <w:rPr>
          <w:noProof/>
          <w:sz w:val="22"/>
          <w:szCs w:val="22"/>
        </w:rPr>
        <w:t xml:space="preserve">. </w:t>
      </w:r>
      <w:r w:rsidRPr="00DD0AC8">
        <w:rPr>
          <w:i/>
          <w:iCs/>
          <w:noProof/>
          <w:sz w:val="22"/>
          <w:szCs w:val="22"/>
        </w:rPr>
        <w:t>6</w:t>
      </w:r>
      <w:r w:rsidRPr="00DD0AC8">
        <w:rPr>
          <w:noProof/>
          <w:sz w:val="22"/>
          <w:szCs w:val="22"/>
        </w:rPr>
        <w:t>(2), 103–202.</w:t>
      </w:r>
    </w:p>
    <w:p w14:paraId="086777D0"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Ruseva, N., Bakalova, A., Cherneva, E., Ruseva, N., Bakalova, A., &amp; Cherneva, E. (2025). Functional groups and structural features of antioxidants: a review. </w:t>
      </w:r>
      <w:r w:rsidRPr="00DD0AC8">
        <w:rPr>
          <w:i/>
          <w:iCs/>
          <w:noProof/>
          <w:sz w:val="22"/>
          <w:szCs w:val="22"/>
        </w:rPr>
        <w:t>Journal of Chemical Technology and Metallurgy</w:t>
      </w:r>
      <w:r w:rsidRPr="00DD0AC8">
        <w:rPr>
          <w:noProof/>
          <w:sz w:val="22"/>
          <w:szCs w:val="22"/>
        </w:rPr>
        <w:t xml:space="preserve">, </w:t>
      </w:r>
      <w:r w:rsidRPr="00DD0AC8">
        <w:rPr>
          <w:i/>
          <w:iCs/>
          <w:noProof/>
          <w:sz w:val="22"/>
          <w:szCs w:val="22"/>
        </w:rPr>
        <w:t>60</w:t>
      </w:r>
      <w:r w:rsidRPr="00DD0AC8">
        <w:rPr>
          <w:noProof/>
          <w:sz w:val="22"/>
          <w:szCs w:val="22"/>
        </w:rPr>
        <w:t>(6), 881–912. https://doi.org/10.59957/jctm.v60.i6.2025.1</w:t>
      </w:r>
    </w:p>
    <w:p w14:paraId="046C21D6" w14:textId="26E776CE"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Sarungallo, Z. L., Santoso, B., Letsoin, Y. Y. D., &amp; Epriliati, I. (2023). Deterioration Kinetics Of Neutralized Red Fruit (Pandanus conoideus L.) Oil During Storage. </w:t>
      </w:r>
      <w:r w:rsidRPr="00DD0AC8">
        <w:rPr>
          <w:i/>
          <w:iCs/>
          <w:noProof/>
          <w:sz w:val="22"/>
          <w:szCs w:val="22"/>
        </w:rPr>
        <w:t>Jurnal Teknologi</w:t>
      </w:r>
      <w:r w:rsidRPr="00DD0AC8">
        <w:rPr>
          <w:noProof/>
          <w:sz w:val="22"/>
          <w:szCs w:val="22"/>
        </w:rPr>
        <w:t xml:space="preserve">, </w:t>
      </w:r>
      <w:r w:rsidRPr="00DD0AC8">
        <w:rPr>
          <w:i/>
          <w:iCs/>
          <w:noProof/>
          <w:sz w:val="22"/>
          <w:szCs w:val="22"/>
        </w:rPr>
        <w:t>85</w:t>
      </w:r>
      <w:r w:rsidRPr="00DD0AC8">
        <w:rPr>
          <w:noProof/>
          <w:sz w:val="22"/>
          <w:szCs w:val="22"/>
        </w:rPr>
        <w:t>(5), 103–112. https://doi.org/10.11113/jurnalteknologi.v85.19526</w:t>
      </w:r>
    </w:p>
    <w:p w14:paraId="435AB5DB" w14:textId="6C667CB8"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Senduk, T. W., Montolalu, L. A. D. Y., Dotulong, V., Ratulangi, S., Ratulangi, U. S., &amp; Bahu, K. U. (2020). </w:t>
      </w:r>
      <w:r w:rsidRPr="00DD0AC8">
        <w:rPr>
          <w:i/>
          <w:iCs/>
          <w:noProof/>
          <w:sz w:val="22"/>
          <w:szCs w:val="22"/>
        </w:rPr>
        <w:t>Rendemen Ekstrak Air Rebusan Daun Tua Mangrove Sonneratia alba (The rendement of boiled water extract of mature leaves of mangrove Sonneratia alba )</w:t>
      </w:r>
      <w:r w:rsidRPr="00DD0AC8">
        <w:rPr>
          <w:noProof/>
          <w:sz w:val="22"/>
          <w:szCs w:val="22"/>
        </w:rPr>
        <w:t xml:space="preserve">. </w:t>
      </w:r>
      <w:r w:rsidRPr="00DD0AC8">
        <w:rPr>
          <w:i/>
          <w:iCs/>
          <w:noProof/>
          <w:sz w:val="22"/>
          <w:szCs w:val="22"/>
        </w:rPr>
        <w:t>11</w:t>
      </w:r>
      <w:r w:rsidRPr="00DD0AC8">
        <w:rPr>
          <w:noProof/>
          <w:sz w:val="22"/>
          <w:szCs w:val="22"/>
        </w:rPr>
        <w:t>(1), 9–15.</w:t>
      </w:r>
    </w:p>
    <w:p w14:paraId="09FF655C"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Shaaban, H. A. (2023). Natural Antioxidants from Herbs and Spices and their effects for Improving the Functionality and Shelf Life of food and Dairy products: A Review. </w:t>
      </w:r>
      <w:r w:rsidRPr="00DD0AC8">
        <w:rPr>
          <w:i/>
          <w:iCs/>
          <w:noProof/>
          <w:sz w:val="22"/>
          <w:szCs w:val="22"/>
        </w:rPr>
        <w:t>Journal of Multidisciplinary Research</w:t>
      </w:r>
      <w:r w:rsidRPr="00DD0AC8">
        <w:rPr>
          <w:noProof/>
          <w:sz w:val="22"/>
          <w:szCs w:val="22"/>
        </w:rPr>
        <w:t xml:space="preserve">, </w:t>
      </w:r>
      <w:r w:rsidRPr="00DD0AC8">
        <w:rPr>
          <w:i/>
          <w:iCs/>
          <w:noProof/>
          <w:sz w:val="22"/>
          <w:szCs w:val="22"/>
        </w:rPr>
        <w:t>3</w:t>
      </w:r>
      <w:r w:rsidRPr="00DD0AC8">
        <w:rPr>
          <w:noProof/>
          <w:sz w:val="22"/>
          <w:szCs w:val="22"/>
        </w:rPr>
        <w:t>(1), 6–23. https://doi.org/10.37022/tjmdr.v3i1.430</w:t>
      </w:r>
    </w:p>
    <w:p w14:paraId="25E022E3" w14:textId="6B005683"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Silalahi, M., Biologi, P. P., &amp; Indonesia, U. K. (2020). </w:t>
      </w:r>
      <w:r w:rsidRPr="00DD0AC8">
        <w:rPr>
          <w:i/>
          <w:iCs/>
          <w:noProof/>
          <w:sz w:val="22"/>
          <w:szCs w:val="22"/>
        </w:rPr>
        <w:t>Bioaktivitas Asam Jawa (Tamarindus indica) dan Pemanfaatannya</w:t>
      </w:r>
      <w:r w:rsidRPr="00DD0AC8">
        <w:rPr>
          <w:noProof/>
          <w:sz w:val="22"/>
          <w:szCs w:val="22"/>
        </w:rPr>
        <w:t xml:space="preserve">. </w:t>
      </w:r>
      <w:r w:rsidRPr="00DD0AC8">
        <w:rPr>
          <w:i/>
          <w:iCs/>
          <w:noProof/>
          <w:sz w:val="22"/>
          <w:szCs w:val="22"/>
        </w:rPr>
        <w:t>7</w:t>
      </w:r>
      <w:r w:rsidRPr="00DD0AC8">
        <w:rPr>
          <w:noProof/>
          <w:sz w:val="22"/>
          <w:szCs w:val="22"/>
        </w:rPr>
        <w:t>(2), 85–91.</w:t>
      </w:r>
    </w:p>
    <w:p w14:paraId="22A7153D"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Song, X., Sui, X., &amp; Jiang, L. (2023). Protection Function and Mechanism of Rosemary (Rosmarinus officinalis L.) Extract on the Thermal Oxidative Stability of Vegetable Oils. </w:t>
      </w:r>
      <w:r w:rsidRPr="00DD0AC8">
        <w:rPr>
          <w:i/>
          <w:iCs/>
          <w:noProof/>
          <w:sz w:val="22"/>
          <w:szCs w:val="22"/>
        </w:rPr>
        <w:t>Foods</w:t>
      </w:r>
      <w:r w:rsidRPr="00DD0AC8">
        <w:rPr>
          <w:noProof/>
          <w:sz w:val="22"/>
          <w:szCs w:val="22"/>
        </w:rPr>
        <w:t xml:space="preserve">, </w:t>
      </w:r>
      <w:r w:rsidRPr="00DD0AC8">
        <w:rPr>
          <w:i/>
          <w:iCs/>
          <w:noProof/>
          <w:sz w:val="22"/>
          <w:szCs w:val="22"/>
        </w:rPr>
        <w:t>12</w:t>
      </w:r>
      <w:r w:rsidRPr="00DD0AC8">
        <w:rPr>
          <w:noProof/>
          <w:sz w:val="22"/>
          <w:szCs w:val="22"/>
        </w:rPr>
        <w:t>(11), 2177. https://doi.org/10.3390/foods12112177</w:t>
      </w:r>
    </w:p>
    <w:p w14:paraId="7EE69687"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Susanti, I. (2016). </w:t>
      </w:r>
      <w:r w:rsidRPr="00DD0AC8">
        <w:rPr>
          <w:i/>
          <w:iCs/>
          <w:noProof/>
          <w:sz w:val="22"/>
          <w:szCs w:val="22"/>
        </w:rPr>
        <w:t>Karakterisasi dan Pendugaan Daya Tahan Simpan Bio Oil ( Minyak Alpukat dan Minyak Buah Merah )</w:t>
      </w:r>
      <w:r w:rsidRPr="00DD0AC8">
        <w:rPr>
          <w:noProof/>
          <w:sz w:val="22"/>
          <w:szCs w:val="22"/>
        </w:rPr>
        <w:t xml:space="preserve">. </w:t>
      </w:r>
      <w:r w:rsidRPr="00DD0AC8">
        <w:rPr>
          <w:i/>
          <w:iCs/>
          <w:noProof/>
          <w:sz w:val="22"/>
          <w:szCs w:val="22"/>
        </w:rPr>
        <w:t>33</w:t>
      </w:r>
      <w:r w:rsidRPr="00DD0AC8">
        <w:rPr>
          <w:noProof/>
          <w:sz w:val="22"/>
          <w:szCs w:val="22"/>
        </w:rPr>
        <w:t>(2), 57–65.</w:t>
      </w:r>
    </w:p>
    <w:p w14:paraId="6F29C348"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Tape, J. S., Houphouet, K. R., Kadjo, A. C., Yao, K., Kedjebo, K. B. D., Koné, K. M., Guehi, T. S., &amp; Montet, D. (2023). Free Fatty Acids and Cocoa Butter Quality Traits: Causes and Impact on Consumers’ Health. </w:t>
      </w:r>
      <w:r w:rsidRPr="00DD0AC8">
        <w:rPr>
          <w:i/>
          <w:iCs/>
          <w:noProof/>
          <w:sz w:val="22"/>
          <w:szCs w:val="22"/>
        </w:rPr>
        <w:t>Journal of Advances in Microbiology</w:t>
      </w:r>
      <w:r w:rsidRPr="00DD0AC8">
        <w:rPr>
          <w:noProof/>
          <w:sz w:val="22"/>
          <w:szCs w:val="22"/>
        </w:rPr>
        <w:t xml:space="preserve">, </w:t>
      </w:r>
      <w:r w:rsidRPr="00DD0AC8">
        <w:rPr>
          <w:i/>
          <w:iCs/>
          <w:noProof/>
          <w:sz w:val="22"/>
          <w:szCs w:val="22"/>
        </w:rPr>
        <w:t>23</w:t>
      </w:r>
      <w:r w:rsidRPr="00DD0AC8">
        <w:rPr>
          <w:noProof/>
          <w:sz w:val="22"/>
          <w:szCs w:val="22"/>
        </w:rPr>
        <w:t>(3), 21–32. https://doi.org/10.9734/jamb/2023/v23i3713</w:t>
      </w:r>
    </w:p>
    <w:p w14:paraId="3035A64E"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Tunny, R. T., Mahulauw, M. A. H., &amp; Darmanta, K. (2020). </w:t>
      </w:r>
      <w:r w:rsidRPr="00DD0AC8">
        <w:rPr>
          <w:i/>
          <w:iCs/>
          <w:noProof/>
          <w:sz w:val="22"/>
          <w:szCs w:val="22"/>
        </w:rPr>
        <w:t>Identifikasi Kandungan Senyawa Fitokimia dan Uji Aktivitas Antioksidan Ekstrak Metanol Daun Asam Jawa (</w:t>
      </w:r>
      <w:r w:rsidRPr="00DD0AC8">
        <w:rPr>
          <w:noProof/>
          <w:sz w:val="22"/>
          <w:szCs w:val="22"/>
        </w:rPr>
        <w:t xml:space="preserve">. </w:t>
      </w:r>
      <w:r w:rsidRPr="00DD0AC8">
        <w:rPr>
          <w:i/>
          <w:iCs/>
          <w:noProof/>
          <w:sz w:val="22"/>
          <w:szCs w:val="22"/>
        </w:rPr>
        <w:t>10</w:t>
      </w:r>
      <w:r w:rsidRPr="00DD0AC8">
        <w:rPr>
          <w:noProof/>
          <w:sz w:val="22"/>
          <w:szCs w:val="22"/>
        </w:rPr>
        <w:t>(2), 1–5.</w:t>
      </w:r>
    </w:p>
    <w:p w14:paraId="1539CFA3"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Villarruel, E. M. O., de Carvalho Filho, J. F. S., Garcia, M. A. S., de Almeida, J. M. A. R., Aranda, D. A. G., &amp; Romano, P. N. (2023). Maintaining high‐triglyceride content and reducing free fatty acids in distillers corn oil: A catalyst‐free multivariate strategy. </w:t>
      </w:r>
      <w:r w:rsidRPr="00DD0AC8">
        <w:rPr>
          <w:i/>
          <w:iCs/>
          <w:noProof/>
          <w:sz w:val="22"/>
          <w:szCs w:val="22"/>
        </w:rPr>
        <w:t>Journal of the American Oil Chemists’ Society</w:t>
      </w:r>
      <w:r w:rsidRPr="00DD0AC8">
        <w:rPr>
          <w:noProof/>
          <w:sz w:val="22"/>
          <w:szCs w:val="22"/>
        </w:rPr>
        <w:t>. https://doi.org/10.1002/aocs.12802</w:t>
      </w:r>
    </w:p>
    <w:p w14:paraId="65DF56C3"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Xue, S. (2023). </w:t>
      </w:r>
      <w:r w:rsidRPr="00DD0AC8">
        <w:rPr>
          <w:i/>
          <w:iCs/>
          <w:noProof/>
          <w:sz w:val="22"/>
          <w:szCs w:val="22"/>
        </w:rPr>
        <w:t>Effects of natural antioxidants on oxidation stability and application in food</w:t>
      </w:r>
      <w:r w:rsidRPr="00DD0AC8">
        <w:rPr>
          <w:noProof/>
          <w:sz w:val="22"/>
          <w:szCs w:val="22"/>
        </w:rPr>
        <w:t xml:space="preserve">. </w:t>
      </w:r>
      <w:r w:rsidRPr="00DD0AC8">
        <w:rPr>
          <w:i/>
          <w:iCs/>
          <w:noProof/>
          <w:sz w:val="22"/>
          <w:szCs w:val="22"/>
        </w:rPr>
        <w:t>12789</w:t>
      </w:r>
      <w:r w:rsidRPr="00DD0AC8">
        <w:rPr>
          <w:noProof/>
          <w:sz w:val="22"/>
          <w:szCs w:val="22"/>
        </w:rPr>
        <w:t>, 127891L. https://doi.org/10.1117/12.3000134</w:t>
      </w:r>
    </w:p>
    <w:p w14:paraId="441059AC"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Yunita, E., &amp; Khodijah, Z. (2020). Pengaruh Konsentrasi Pelarut Etanol saat Maserasi terhadap Kadar Kuersetin Ekstrak Daun Asam Jawa ( Tamarindus indica L .) secara. </w:t>
      </w:r>
      <w:r w:rsidRPr="00DD0AC8">
        <w:rPr>
          <w:i/>
          <w:iCs/>
          <w:noProof/>
          <w:sz w:val="22"/>
          <w:szCs w:val="22"/>
        </w:rPr>
        <w:t>PHARMACY: Jurnal Farmasi Indonesia (Pharmaceutical Journal of Indonesia)</w:t>
      </w:r>
      <w:r w:rsidRPr="00DD0AC8">
        <w:rPr>
          <w:noProof/>
          <w:sz w:val="22"/>
          <w:szCs w:val="22"/>
        </w:rPr>
        <w:t xml:space="preserve">, </w:t>
      </w:r>
      <w:r w:rsidRPr="00DD0AC8">
        <w:rPr>
          <w:i/>
          <w:iCs/>
          <w:noProof/>
          <w:sz w:val="22"/>
          <w:szCs w:val="22"/>
        </w:rPr>
        <w:t>17</w:t>
      </w:r>
      <w:r w:rsidRPr="00DD0AC8">
        <w:rPr>
          <w:noProof/>
          <w:sz w:val="22"/>
          <w:szCs w:val="22"/>
        </w:rPr>
        <w:t>(02), 273–280.</w:t>
      </w:r>
    </w:p>
    <w:p w14:paraId="424CE55D" w14:textId="77777777" w:rsidR="00422B98" w:rsidRPr="00DD0AC8" w:rsidRDefault="00422B98" w:rsidP="00DD0AC8">
      <w:pPr>
        <w:widowControl w:val="0"/>
        <w:autoSpaceDE w:val="0"/>
        <w:autoSpaceDN w:val="0"/>
        <w:adjustRightInd w:val="0"/>
        <w:ind w:left="480" w:hanging="480"/>
        <w:jc w:val="both"/>
        <w:rPr>
          <w:noProof/>
          <w:sz w:val="22"/>
          <w:szCs w:val="22"/>
        </w:rPr>
      </w:pPr>
      <w:r w:rsidRPr="00DD0AC8">
        <w:rPr>
          <w:noProof/>
          <w:sz w:val="22"/>
          <w:szCs w:val="22"/>
        </w:rPr>
        <w:t xml:space="preserve">Zahid, M., Khalid, S., Raana, S., Amin, S., Javaid, H., Arshad, R., &amp; Jahangeer, A. (2024). Unveiling the anti-oxidative potential of fruits and vegetables waste in prolonging the shelf stability of vegetable oils. </w:t>
      </w:r>
      <w:r w:rsidRPr="00DD0AC8">
        <w:rPr>
          <w:i/>
          <w:iCs/>
          <w:noProof/>
          <w:sz w:val="22"/>
          <w:szCs w:val="22"/>
        </w:rPr>
        <w:t>Future Foods</w:t>
      </w:r>
      <w:r w:rsidRPr="00DD0AC8">
        <w:rPr>
          <w:noProof/>
          <w:sz w:val="22"/>
          <w:szCs w:val="22"/>
        </w:rPr>
        <w:t>. https://doi.org/10.1016/j.fufo.2024.100328</w:t>
      </w:r>
    </w:p>
    <w:p w14:paraId="391D674A" w14:textId="1B07FE60" w:rsidR="00F32E55" w:rsidRPr="00DD0AC8" w:rsidRDefault="00422B98" w:rsidP="00DD0AC8">
      <w:pPr>
        <w:jc w:val="both"/>
        <w:rPr>
          <w:iCs/>
          <w:sz w:val="22"/>
          <w:szCs w:val="22"/>
          <w:lang w:val="en-ID"/>
        </w:rPr>
      </w:pPr>
      <w:r w:rsidRPr="00DD0AC8">
        <w:rPr>
          <w:color w:val="000000"/>
          <w:sz w:val="22"/>
          <w:szCs w:val="22"/>
        </w:rPr>
        <w:fldChar w:fldCharType="end"/>
      </w:r>
    </w:p>
    <w:p w14:paraId="1392D7BD" w14:textId="77777777" w:rsidR="00F32E55" w:rsidRPr="00DD0AC8" w:rsidRDefault="00F32E55" w:rsidP="00DD0AC8">
      <w:pPr>
        <w:ind w:firstLine="720"/>
        <w:jc w:val="both"/>
        <w:rPr>
          <w:sz w:val="22"/>
          <w:szCs w:val="22"/>
        </w:rPr>
      </w:pPr>
    </w:p>
    <w:p w14:paraId="36326ABA" w14:textId="12BE9D14" w:rsidR="00335652" w:rsidRPr="00DD0AC8" w:rsidRDefault="00335652" w:rsidP="00DD0AC8">
      <w:pPr>
        <w:pBdr>
          <w:top w:val="nil"/>
          <w:left w:val="nil"/>
          <w:bottom w:val="nil"/>
          <w:right w:val="nil"/>
          <w:between w:val="nil"/>
        </w:pBdr>
        <w:ind w:firstLine="720"/>
        <w:jc w:val="both"/>
        <w:rPr>
          <w:sz w:val="22"/>
          <w:szCs w:val="22"/>
        </w:rPr>
      </w:pPr>
    </w:p>
    <w:p w14:paraId="588ABCD7" w14:textId="359CBE5D" w:rsidR="006B14A0" w:rsidRPr="00DD0AC8" w:rsidRDefault="006B14A0" w:rsidP="00DD0AC8">
      <w:pPr>
        <w:pStyle w:val="Reference"/>
        <w:numPr>
          <w:ilvl w:val="0"/>
          <w:numId w:val="0"/>
        </w:numPr>
        <w:rPr>
          <w:rFonts w:ascii="Times New Roman" w:hAnsi="Times New Roman"/>
        </w:rPr>
      </w:pPr>
    </w:p>
    <w:sectPr w:rsidR="006B14A0" w:rsidRPr="00DD0AC8" w:rsidSect="00C07A82">
      <w:headerReference w:type="even" r:id="rId11"/>
      <w:headerReference w:type="default" r:id="rId12"/>
      <w:footerReference w:type="even" r:id="rId13"/>
      <w:footerReference w:type="default" r:id="rId14"/>
      <w:headerReference w:type="first" r:id="rId15"/>
      <w:pgSz w:w="11900" w:h="16840"/>
      <w:pgMar w:top="2268" w:right="1701" w:bottom="1701" w:left="2070" w:header="1406" w:footer="1707" w:gutter="0"/>
      <w:pgNumType w:start="49"/>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C0644" w14:textId="77777777" w:rsidR="00124D9F" w:rsidRDefault="00124D9F">
      <w:r>
        <w:separator/>
      </w:r>
    </w:p>
  </w:endnote>
  <w:endnote w:type="continuationSeparator" w:id="0">
    <w:p w14:paraId="4197B8A0" w14:textId="77777777" w:rsidR="00124D9F" w:rsidRDefault="00124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aiandra GD">
    <w:panose1 w:val="020E0502030308020204"/>
    <w:charset w:val="00"/>
    <w:family w:val="swiss"/>
    <w:pitch w:val="variable"/>
    <w:sig w:usb0="00000003" w:usb1="00000000" w:usb2="00000000" w:usb3="00000000" w:csb0="00000001" w:csb1="00000000"/>
  </w:font>
  <w:font w:name="Overloc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7E55" w14:textId="172B937F" w:rsidR="00705ECD" w:rsidRDefault="00705ECD">
    <w:pPr>
      <w:pStyle w:val="Footer"/>
      <w:jc w:val="right"/>
    </w:pPr>
    <w:r>
      <w:t xml:space="preserve"> </w:t>
    </w:r>
    <w:proofErr w:type="spellStart"/>
    <w:r>
      <w:rPr>
        <w:rFonts w:ascii="Maiandra GD" w:eastAsia="Maiandra GD" w:hAnsi="Maiandra GD" w:cs="Maiandra GD"/>
        <w:spacing w:val="1"/>
        <w:sz w:val="21"/>
        <w:szCs w:val="21"/>
      </w:rPr>
      <w:t>A</w:t>
    </w:r>
    <w:r>
      <w:rPr>
        <w:rFonts w:ascii="Maiandra GD" w:eastAsia="Maiandra GD" w:hAnsi="Maiandra GD" w:cs="Maiandra GD"/>
        <w:sz w:val="21"/>
        <w:szCs w:val="21"/>
      </w:rPr>
      <w:t>l</w:t>
    </w:r>
    <w:r>
      <w:rPr>
        <w:rFonts w:ascii="Maiandra GD" w:eastAsia="Maiandra GD" w:hAnsi="Maiandra GD" w:cs="Maiandra GD"/>
        <w:spacing w:val="-1"/>
        <w:sz w:val="21"/>
        <w:szCs w:val="21"/>
      </w:rPr>
      <w:t>-</w:t>
    </w:r>
    <w:r>
      <w:rPr>
        <w:rFonts w:ascii="Maiandra GD" w:eastAsia="Maiandra GD" w:hAnsi="Maiandra GD" w:cs="Maiandra GD"/>
        <w:spacing w:val="-2"/>
        <w:sz w:val="21"/>
        <w:szCs w:val="21"/>
      </w:rPr>
      <w:t>K</w:t>
    </w:r>
    <w:r>
      <w:rPr>
        <w:rFonts w:ascii="Maiandra GD" w:eastAsia="Maiandra GD" w:hAnsi="Maiandra GD" w:cs="Maiandra GD"/>
        <w:spacing w:val="3"/>
        <w:sz w:val="21"/>
        <w:szCs w:val="21"/>
      </w:rPr>
      <w:t>i</w:t>
    </w:r>
    <w:r>
      <w:rPr>
        <w:rFonts w:ascii="Maiandra GD" w:eastAsia="Maiandra GD" w:hAnsi="Maiandra GD" w:cs="Maiandra GD"/>
        <w:spacing w:val="-3"/>
        <w:sz w:val="21"/>
        <w:szCs w:val="21"/>
      </w:rPr>
      <w:t>m</w:t>
    </w:r>
    <w:r>
      <w:rPr>
        <w:rFonts w:ascii="Maiandra GD" w:eastAsia="Maiandra GD" w:hAnsi="Maiandra GD" w:cs="Maiandra GD"/>
        <w:spacing w:val="1"/>
        <w:sz w:val="21"/>
        <w:szCs w:val="21"/>
      </w:rPr>
      <w:t>i</w:t>
    </w:r>
    <w:r>
      <w:rPr>
        <w:rFonts w:ascii="Maiandra GD" w:eastAsia="Maiandra GD" w:hAnsi="Maiandra GD" w:cs="Maiandra GD"/>
        <w:sz w:val="21"/>
        <w:szCs w:val="21"/>
      </w:rPr>
      <w:t>a|V</w:t>
    </w:r>
    <w:r>
      <w:rPr>
        <w:rFonts w:ascii="Maiandra GD" w:eastAsia="Maiandra GD" w:hAnsi="Maiandra GD" w:cs="Maiandra GD"/>
        <w:spacing w:val="1"/>
        <w:sz w:val="21"/>
        <w:szCs w:val="21"/>
      </w:rPr>
      <w:t>o</w:t>
    </w:r>
    <w:r>
      <w:rPr>
        <w:rFonts w:ascii="Maiandra GD" w:eastAsia="Maiandra GD" w:hAnsi="Maiandra GD" w:cs="Maiandra GD"/>
        <w:sz w:val="21"/>
        <w:szCs w:val="21"/>
      </w:rPr>
      <w:t>lu</w:t>
    </w:r>
    <w:r>
      <w:rPr>
        <w:rFonts w:ascii="Maiandra GD" w:eastAsia="Maiandra GD" w:hAnsi="Maiandra GD" w:cs="Maiandra GD"/>
        <w:spacing w:val="-1"/>
        <w:sz w:val="21"/>
        <w:szCs w:val="21"/>
      </w:rPr>
      <w:t>m</w:t>
    </w:r>
    <w:r>
      <w:rPr>
        <w:rFonts w:ascii="Maiandra GD" w:eastAsia="Maiandra GD" w:hAnsi="Maiandra GD" w:cs="Maiandra GD"/>
        <w:sz w:val="21"/>
        <w:szCs w:val="21"/>
      </w:rPr>
      <w:t>e</w:t>
    </w:r>
    <w:proofErr w:type="spellEnd"/>
    <w:r>
      <w:rPr>
        <w:rFonts w:ascii="Maiandra GD" w:eastAsia="Maiandra GD" w:hAnsi="Maiandra GD" w:cs="Maiandra GD"/>
        <w:sz w:val="21"/>
        <w:szCs w:val="21"/>
      </w:rPr>
      <w:t xml:space="preserve"> X</w:t>
    </w:r>
    <w:r w:rsidR="00CF40B3">
      <w:rPr>
        <w:rFonts w:ascii="Maiandra GD" w:eastAsia="Maiandra GD" w:hAnsi="Maiandra GD" w:cs="Maiandra GD"/>
        <w:sz w:val="21"/>
        <w:szCs w:val="21"/>
      </w:rPr>
      <w:t>I</w:t>
    </w:r>
    <w:r w:rsidR="00577FAF">
      <w:rPr>
        <w:rFonts w:ascii="Maiandra GD" w:eastAsia="Maiandra GD" w:hAnsi="Maiandra GD" w:cs="Maiandra GD"/>
        <w:sz w:val="21"/>
        <w:szCs w:val="21"/>
      </w:rPr>
      <w:t>V</w:t>
    </w:r>
    <w:r>
      <w:rPr>
        <w:rFonts w:ascii="Maiandra GD" w:eastAsia="Maiandra GD" w:hAnsi="Maiandra GD" w:cs="Maiandra GD"/>
        <w:sz w:val="21"/>
        <w:szCs w:val="21"/>
      </w:rPr>
      <w:t xml:space="preserve"> </w:t>
    </w:r>
    <w:proofErr w:type="spellStart"/>
    <w:r>
      <w:rPr>
        <w:rFonts w:ascii="Maiandra GD" w:eastAsia="Maiandra GD" w:hAnsi="Maiandra GD" w:cs="Maiandra GD"/>
        <w:sz w:val="21"/>
        <w:szCs w:val="21"/>
      </w:rPr>
      <w:t>N</w:t>
    </w:r>
    <w:r>
      <w:rPr>
        <w:rFonts w:ascii="Maiandra GD" w:eastAsia="Maiandra GD" w:hAnsi="Maiandra GD" w:cs="Maiandra GD"/>
        <w:spacing w:val="-2"/>
        <w:sz w:val="21"/>
        <w:szCs w:val="21"/>
      </w:rPr>
      <w:t>o</w:t>
    </w:r>
    <w:r>
      <w:rPr>
        <w:rFonts w:ascii="Maiandra GD" w:eastAsia="Maiandra GD" w:hAnsi="Maiandra GD" w:cs="Maiandra GD"/>
        <w:spacing w:val="-3"/>
        <w:sz w:val="21"/>
        <w:szCs w:val="21"/>
      </w:rPr>
      <w:t>m</w:t>
    </w:r>
    <w:r>
      <w:rPr>
        <w:rFonts w:ascii="Maiandra GD" w:eastAsia="Maiandra GD" w:hAnsi="Maiandra GD" w:cs="Maiandra GD"/>
        <w:spacing w:val="1"/>
        <w:sz w:val="21"/>
        <w:szCs w:val="21"/>
      </w:rPr>
      <w:t>o</w:t>
    </w:r>
    <w:r>
      <w:rPr>
        <w:rFonts w:ascii="Maiandra GD" w:eastAsia="Maiandra GD" w:hAnsi="Maiandra GD" w:cs="Maiandra GD"/>
        <w:sz w:val="21"/>
        <w:szCs w:val="21"/>
      </w:rPr>
      <w:t>r</w:t>
    </w:r>
    <w:proofErr w:type="spellEnd"/>
    <w:r>
      <w:rPr>
        <w:rFonts w:ascii="Maiandra GD" w:eastAsia="Maiandra GD" w:hAnsi="Maiandra GD" w:cs="Maiandra GD"/>
        <w:sz w:val="21"/>
        <w:szCs w:val="21"/>
      </w:rPr>
      <w:t xml:space="preserve"> </w:t>
    </w:r>
    <w:r w:rsidR="00577FAF">
      <w:rPr>
        <w:rFonts w:ascii="Maiandra GD" w:eastAsia="Maiandra GD" w:hAnsi="Maiandra GD" w:cs="Maiandra GD"/>
        <w:sz w:val="21"/>
        <w:szCs w:val="21"/>
      </w:rPr>
      <w:t>1</w:t>
    </w:r>
    <w:r>
      <w:rPr>
        <w:rFonts w:ascii="Maiandra GD" w:eastAsia="Maiandra GD" w:hAnsi="Maiandra GD" w:cs="Maiandra GD"/>
        <w:sz w:val="21"/>
        <w:szCs w:val="21"/>
      </w:rPr>
      <w:t xml:space="preserve"> </w:t>
    </w:r>
    <w:r>
      <w:rPr>
        <w:rFonts w:ascii="Maiandra GD" w:eastAsia="Maiandra GD" w:hAnsi="Maiandra GD" w:cs="Maiandra GD"/>
        <w:spacing w:val="-2"/>
        <w:sz w:val="21"/>
        <w:szCs w:val="21"/>
      </w:rPr>
      <w:t>2</w:t>
    </w:r>
    <w:r>
      <w:rPr>
        <w:rFonts w:ascii="Maiandra GD" w:eastAsia="Maiandra GD" w:hAnsi="Maiandra GD" w:cs="Maiandra GD"/>
        <w:spacing w:val="1"/>
        <w:sz w:val="21"/>
        <w:szCs w:val="21"/>
      </w:rPr>
      <w:t>02</w:t>
    </w:r>
    <w:r w:rsidR="00577FAF">
      <w:rPr>
        <w:rFonts w:ascii="Maiandra GD" w:eastAsia="Maiandra GD" w:hAnsi="Maiandra GD" w:cs="Maiandra GD"/>
        <w:spacing w:val="1"/>
        <w:sz w:val="21"/>
        <w:szCs w:val="21"/>
      </w:rPr>
      <w:t>6</w:t>
    </w:r>
    <w:r>
      <w:rPr>
        <w:rFonts w:ascii="Maiandra GD" w:eastAsia="Maiandra GD" w:hAnsi="Maiandra GD" w:cs="Maiandra GD"/>
        <w:spacing w:val="1"/>
        <w:sz w:val="21"/>
        <w:szCs w:val="21"/>
      </w:rPr>
      <w:t xml:space="preserve">. </w:t>
    </w:r>
    <w:sdt>
      <w:sdtPr>
        <w:id w:val="1219403413"/>
        <w:docPartObj>
          <w:docPartGallery w:val="Page Numbers (Bottom of Page)"/>
          <w:docPartUnique/>
        </w:docPartObj>
      </w:sdtPr>
      <w:sdtEndPr>
        <w:rPr>
          <w:noProof/>
          <w:color w:val="FFFFFF" w:themeColor="background1"/>
        </w:rPr>
      </w:sdtEndPr>
      <w:sdtContent>
        <w:r w:rsidRPr="00705ECD">
          <w:rPr>
            <w:rFonts w:ascii="Maiandra GD" w:hAnsi="Maiandra GD"/>
            <w:color w:val="FFFFFF" w:themeColor="background1"/>
            <w:highlight w:val="darkRed"/>
          </w:rPr>
          <w:fldChar w:fldCharType="begin"/>
        </w:r>
        <w:r w:rsidRPr="00705ECD">
          <w:rPr>
            <w:rFonts w:ascii="Maiandra GD" w:hAnsi="Maiandra GD"/>
            <w:color w:val="FFFFFF" w:themeColor="background1"/>
            <w:highlight w:val="darkRed"/>
          </w:rPr>
          <w:instrText xml:space="preserve"> PAGE   \* MERGEFORMAT </w:instrText>
        </w:r>
        <w:r w:rsidRPr="00705ECD">
          <w:rPr>
            <w:rFonts w:ascii="Maiandra GD" w:hAnsi="Maiandra GD"/>
            <w:color w:val="FFFFFF" w:themeColor="background1"/>
            <w:highlight w:val="darkRed"/>
          </w:rPr>
          <w:fldChar w:fldCharType="separate"/>
        </w:r>
        <w:r w:rsidRPr="00705ECD">
          <w:rPr>
            <w:rFonts w:ascii="Maiandra GD" w:hAnsi="Maiandra GD"/>
            <w:noProof/>
            <w:color w:val="FFFFFF" w:themeColor="background1"/>
            <w:highlight w:val="darkRed"/>
          </w:rPr>
          <w:t>2</w:t>
        </w:r>
        <w:r w:rsidRPr="00705ECD">
          <w:rPr>
            <w:rFonts w:ascii="Maiandra GD" w:hAnsi="Maiandra GD"/>
            <w:noProof/>
            <w:color w:val="FFFFFF" w:themeColor="background1"/>
            <w:highlight w:val="darkRed"/>
          </w:rPr>
          <w:fldChar w:fldCharType="end"/>
        </w:r>
      </w:sdtContent>
    </w:sdt>
  </w:p>
  <w:p w14:paraId="2F43B894" w14:textId="77777777" w:rsidR="00C95197" w:rsidRPr="00705ECD" w:rsidRDefault="00C95197" w:rsidP="00705ECD">
    <w:pPr>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D1FE" w14:textId="717215DD" w:rsidR="00705ECD" w:rsidRPr="00904D60" w:rsidRDefault="00705ECD">
    <w:pPr>
      <w:pStyle w:val="Footer"/>
      <w:jc w:val="right"/>
      <w:rPr>
        <w:color w:val="FFFFFF" w:themeColor="background1"/>
      </w:rPr>
    </w:pPr>
    <w:proofErr w:type="spellStart"/>
    <w:r>
      <w:rPr>
        <w:rFonts w:ascii="Maiandra GD" w:eastAsia="Maiandra GD" w:hAnsi="Maiandra GD" w:cs="Maiandra GD"/>
        <w:spacing w:val="1"/>
        <w:sz w:val="21"/>
        <w:szCs w:val="21"/>
      </w:rPr>
      <w:t>A</w:t>
    </w:r>
    <w:r>
      <w:rPr>
        <w:rFonts w:ascii="Maiandra GD" w:eastAsia="Maiandra GD" w:hAnsi="Maiandra GD" w:cs="Maiandra GD"/>
        <w:sz w:val="21"/>
        <w:szCs w:val="21"/>
      </w:rPr>
      <w:t>l</w:t>
    </w:r>
    <w:r>
      <w:rPr>
        <w:rFonts w:ascii="Maiandra GD" w:eastAsia="Maiandra GD" w:hAnsi="Maiandra GD" w:cs="Maiandra GD"/>
        <w:spacing w:val="-1"/>
        <w:sz w:val="21"/>
        <w:szCs w:val="21"/>
      </w:rPr>
      <w:t>-</w:t>
    </w:r>
    <w:r>
      <w:rPr>
        <w:rFonts w:ascii="Maiandra GD" w:eastAsia="Maiandra GD" w:hAnsi="Maiandra GD" w:cs="Maiandra GD"/>
        <w:spacing w:val="-2"/>
        <w:sz w:val="21"/>
        <w:szCs w:val="21"/>
      </w:rPr>
      <w:t>K</w:t>
    </w:r>
    <w:r>
      <w:rPr>
        <w:rFonts w:ascii="Maiandra GD" w:eastAsia="Maiandra GD" w:hAnsi="Maiandra GD" w:cs="Maiandra GD"/>
        <w:spacing w:val="3"/>
        <w:sz w:val="21"/>
        <w:szCs w:val="21"/>
      </w:rPr>
      <w:t>i</w:t>
    </w:r>
    <w:r>
      <w:rPr>
        <w:rFonts w:ascii="Maiandra GD" w:eastAsia="Maiandra GD" w:hAnsi="Maiandra GD" w:cs="Maiandra GD"/>
        <w:spacing w:val="-3"/>
        <w:sz w:val="21"/>
        <w:szCs w:val="21"/>
      </w:rPr>
      <w:t>m</w:t>
    </w:r>
    <w:r>
      <w:rPr>
        <w:rFonts w:ascii="Maiandra GD" w:eastAsia="Maiandra GD" w:hAnsi="Maiandra GD" w:cs="Maiandra GD"/>
        <w:spacing w:val="1"/>
        <w:sz w:val="21"/>
        <w:szCs w:val="21"/>
      </w:rPr>
      <w:t>i</w:t>
    </w:r>
    <w:r>
      <w:rPr>
        <w:rFonts w:ascii="Maiandra GD" w:eastAsia="Maiandra GD" w:hAnsi="Maiandra GD" w:cs="Maiandra GD"/>
        <w:sz w:val="21"/>
        <w:szCs w:val="21"/>
      </w:rPr>
      <w:t>a|V</w:t>
    </w:r>
    <w:r>
      <w:rPr>
        <w:rFonts w:ascii="Maiandra GD" w:eastAsia="Maiandra GD" w:hAnsi="Maiandra GD" w:cs="Maiandra GD"/>
        <w:spacing w:val="1"/>
        <w:sz w:val="21"/>
        <w:szCs w:val="21"/>
      </w:rPr>
      <w:t>o</w:t>
    </w:r>
    <w:r>
      <w:rPr>
        <w:rFonts w:ascii="Maiandra GD" w:eastAsia="Maiandra GD" w:hAnsi="Maiandra GD" w:cs="Maiandra GD"/>
        <w:sz w:val="21"/>
        <w:szCs w:val="21"/>
      </w:rPr>
      <w:t>lu</w:t>
    </w:r>
    <w:r>
      <w:rPr>
        <w:rFonts w:ascii="Maiandra GD" w:eastAsia="Maiandra GD" w:hAnsi="Maiandra GD" w:cs="Maiandra GD"/>
        <w:spacing w:val="-1"/>
        <w:sz w:val="21"/>
        <w:szCs w:val="21"/>
      </w:rPr>
      <w:t>m</w:t>
    </w:r>
    <w:r>
      <w:rPr>
        <w:rFonts w:ascii="Maiandra GD" w:eastAsia="Maiandra GD" w:hAnsi="Maiandra GD" w:cs="Maiandra GD"/>
        <w:sz w:val="21"/>
        <w:szCs w:val="21"/>
      </w:rPr>
      <w:t>e</w:t>
    </w:r>
    <w:proofErr w:type="spellEnd"/>
    <w:r>
      <w:rPr>
        <w:rFonts w:ascii="Maiandra GD" w:eastAsia="Maiandra GD" w:hAnsi="Maiandra GD" w:cs="Maiandra GD"/>
        <w:sz w:val="21"/>
        <w:szCs w:val="21"/>
      </w:rPr>
      <w:t xml:space="preserve"> XI</w:t>
    </w:r>
    <w:r w:rsidR="00577FAF">
      <w:rPr>
        <w:rFonts w:ascii="Maiandra GD" w:eastAsia="Maiandra GD" w:hAnsi="Maiandra GD" w:cs="Maiandra GD"/>
        <w:sz w:val="21"/>
        <w:szCs w:val="21"/>
      </w:rPr>
      <w:t>V</w:t>
    </w:r>
    <w:r>
      <w:rPr>
        <w:rFonts w:ascii="Maiandra GD" w:eastAsia="Maiandra GD" w:hAnsi="Maiandra GD" w:cs="Maiandra GD"/>
        <w:sz w:val="21"/>
        <w:szCs w:val="21"/>
      </w:rPr>
      <w:t xml:space="preserve"> </w:t>
    </w:r>
    <w:proofErr w:type="spellStart"/>
    <w:r>
      <w:rPr>
        <w:rFonts w:ascii="Maiandra GD" w:eastAsia="Maiandra GD" w:hAnsi="Maiandra GD" w:cs="Maiandra GD"/>
        <w:sz w:val="21"/>
        <w:szCs w:val="21"/>
      </w:rPr>
      <w:t>N</w:t>
    </w:r>
    <w:r>
      <w:rPr>
        <w:rFonts w:ascii="Maiandra GD" w:eastAsia="Maiandra GD" w:hAnsi="Maiandra GD" w:cs="Maiandra GD"/>
        <w:spacing w:val="-2"/>
        <w:sz w:val="21"/>
        <w:szCs w:val="21"/>
      </w:rPr>
      <w:t>o</w:t>
    </w:r>
    <w:r>
      <w:rPr>
        <w:rFonts w:ascii="Maiandra GD" w:eastAsia="Maiandra GD" w:hAnsi="Maiandra GD" w:cs="Maiandra GD"/>
        <w:spacing w:val="-3"/>
        <w:sz w:val="21"/>
        <w:szCs w:val="21"/>
      </w:rPr>
      <w:t>m</w:t>
    </w:r>
    <w:r>
      <w:rPr>
        <w:rFonts w:ascii="Maiandra GD" w:eastAsia="Maiandra GD" w:hAnsi="Maiandra GD" w:cs="Maiandra GD"/>
        <w:spacing w:val="1"/>
        <w:sz w:val="21"/>
        <w:szCs w:val="21"/>
      </w:rPr>
      <w:t>o</w:t>
    </w:r>
    <w:r>
      <w:rPr>
        <w:rFonts w:ascii="Maiandra GD" w:eastAsia="Maiandra GD" w:hAnsi="Maiandra GD" w:cs="Maiandra GD"/>
        <w:sz w:val="21"/>
        <w:szCs w:val="21"/>
      </w:rPr>
      <w:t>r</w:t>
    </w:r>
    <w:proofErr w:type="spellEnd"/>
    <w:r>
      <w:rPr>
        <w:rFonts w:ascii="Maiandra GD" w:eastAsia="Maiandra GD" w:hAnsi="Maiandra GD" w:cs="Maiandra GD"/>
        <w:sz w:val="21"/>
        <w:szCs w:val="21"/>
      </w:rPr>
      <w:t xml:space="preserve"> </w:t>
    </w:r>
    <w:r w:rsidR="00577FAF">
      <w:rPr>
        <w:rFonts w:ascii="Maiandra GD" w:eastAsia="Maiandra GD" w:hAnsi="Maiandra GD" w:cs="Maiandra GD"/>
        <w:sz w:val="21"/>
        <w:szCs w:val="21"/>
      </w:rPr>
      <w:t>1</w:t>
    </w:r>
    <w:r>
      <w:rPr>
        <w:rFonts w:ascii="Maiandra GD" w:eastAsia="Maiandra GD" w:hAnsi="Maiandra GD" w:cs="Maiandra GD"/>
        <w:sz w:val="21"/>
        <w:szCs w:val="21"/>
      </w:rPr>
      <w:t xml:space="preserve"> </w:t>
    </w:r>
    <w:r>
      <w:rPr>
        <w:rFonts w:ascii="Maiandra GD" w:eastAsia="Maiandra GD" w:hAnsi="Maiandra GD" w:cs="Maiandra GD"/>
        <w:spacing w:val="-2"/>
        <w:sz w:val="21"/>
        <w:szCs w:val="21"/>
      </w:rPr>
      <w:t>2</w:t>
    </w:r>
    <w:r>
      <w:rPr>
        <w:rFonts w:ascii="Maiandra GD" w:eastAsia="Maiandra GD" w:hAnsi="Maiandra GD" w:cs="Maiandra GD"/>
        <w:spacing w:val="1"/>
        <w:sz w:val="21"/>
        <w:szCs w:val="21"/>
      </w:rPr>
      <w:t>02</w:t>
    </w:r>
    <w:r w:rsidR="00577FAF">
      <w:rPr>
        <w:rFonts w:ascii="Maiandra GD" w:eastAsia="Maiandra GD" w:hAnsi="Maiandra GD" w:cs="Maiandra GD"/>
        <w:spacing w:val="1"/>
        <w:sz w:val="21"/>
        <w:szCs w:val="21"/>
      </w:rPr>
      <w:t>6</w:t>
    </w:r>
    <w:r>
      <w:rPr>
        <w:rFonts w:ascii="Maiandra GD" w:eastAsia="Maiandra GD" w:hAnsi="Maiandra GD" w:cs="Maiandra GD"/>
        <w:spacing w:val="1"/>
        <w:sz w:val="21"/>
        <w:szCs w:val="21"/>
      </w:rPr>
      <w:t>.</w:t>
    </w:r>
    <w:r w:rsidRPr="00904D60">
      <w:rPr>
        <w:rFonts w:ascii="Maiandra GD" w:eastAsia="Maiandra GD" w:hAnsi="Maiandra GD" w:cs="Maiandra GD"/>
        <w:color w:val="FFFFFF" w:themeColor="background1"/>
        <w:spacing w:val="1"/>
        <w:sz w:val="21"/>
        <w:szCs w:val="21"/>
      </w:rPr>
      <w:t xml:space="preserve"> </w:t>
    </w:r>
    <w:sdt>
      <w:sdtPr>
        <w:rPr>
          <w:color w:val="FFFFFF" w:themeColor="background1"/>
        </w:rPr>
        <w:id w:val="-1588684255"/>
        <w:docPartObj>
          <w:docPartGallery w:val="Page Numbers (Bottom of Page)"/>
          <w:docPartUnique/>
        </w:docPartObj>
      </w:sdtPr>
      <w:sdtEndPr>
        <w:rPr>
          <w:color w:val="auto"/>
          <w:highlight w:val="darkRed"/>
        </w:rPr>
      </w:sdtEndPr>
      <w:sdtContent>
        <w:r w:rsidRPr="00904D60">
          <w:rPr>
            <w:rFonts w:ascii="Maiandra GD" w:hAnsi="Maiandra GD"/>
            <w:color w:val="FFFFFF" w:themeColor="background1"/>
            <w:highlight w:val="darkRed"/>
          </w:rPr>
          <w:fldChar w:fldCharType="begin"/>
        </w:r>
        <w:r w:rsidRPr="00904D60">
          <w:rPr>
            <w:rFonts w:ascii="Maiandra GD" w:hAnsi="Maiandra GD"/>
            <w:color w:val="FFFFFF" w:themeColor="background1"/>
            <w:highlight w:val="darkRed"/>
          </w:rPr>
          <w:instrText xml:space="preserve"> PAGE   \* MERGEFORMAT </w:instrText>
        </w:r>
        <w:r w:rsidRPr="00904D60">
          <w:rPr>
            <w:rFonts w:ascii="Maiandra GD" w:hAnsi="Maiandra GD"/>
            <w:color w:val="FFFFFF" w:themeColor="background1"/>
            <w:highlight w:val="darkRed"/>
          </w:rPr>
          <w:fldChar w:fldCharType="separate"/>
        </w:r>
        <w:r w:rsidRPr="00904D60">
          <w:rPr>
            <w:rFonts w:ascii="Maiandra GD" w:hAnsi="Maiandra GD"/>
            <w:noProof/>
            <w:color w:val="FFFFFF" w:themeColor="background1"/>
            <w:highlight w:val="darkRed"/>
          </w:rPr>
          <w:t>2</w:t>
        </w:r>
        <w:r w:rsidRPr="00904D60">
          <w:rPr>
            <w:rFonts w:ascii="Maiandra GD" w:hAnsi="Maiandra GD"/>
            <w:noProof/>
            <w:color w:val="FFFFFF" w:themeColor="background1"/>
            <w:highlight w:val="darkRed"/>
          </w:rPr>
          <w:fldChar w:fldCharType="end"/>
        </w:r>
      </w:sdtContent>
    </w:sdt>
  </w:p>
  <w:p w14:paraId="72092C64" w14:textId="614613FA" w:rsidR="006B14A0" w:rsidRDefault="006B14A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AC8EB" w14:textId="77777777" w:rsidR="00124D9F" w:rsidRDefault="00124D9F">
      <w:r>
        <w:separator/>
      </w:r>
    </w:p>
  </w:footnote>
  <w:footnote w:type="continuationSeparator" w:id="0">
    <w:p w14:paraId="18997218" w14:textId="77777777" w:rsidR="00124D9F" w:rsidRDefault="00124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3EF5" w14:textId="77777777" w:rsidR="00042621" w:rsidRDefault="00042621" w:rsidP="00042621">
    <w:pPr>
      <w:spacing w:line="200" w:lineRule="auto"/>
    </w:pPr>
    <w:r>
      <w:rPr>
        <w:noProof/>
      </w:rPr>
      <mc:AlternateContent>
        <mc:Choice Requires="wps">
          <w:drawing>
            <wp:anchor distT="0" distB="0" distL="0" distR="0" simplePos="0" relativeHeight="251669504" behindDoc="0" locked="0" layoutInCell="1" hidden="0" allowOverlap="1" wp14:anchorId="343C1C71" wp14:editId="7591FD8E">
              <wp:simplePos x="0" y="0"/>
              <wp:positionH relativeFrom="page">
                <wp:posOffset>2115256</wp:posOffset>
              </wp:positionH>
              <wp:positionV relativeFrom="topMargin">
                <wp:posOffset>1104900</wp:posOffset>
              </wp:positionV>
              <wp:extent cx="4817673" cy="416560"/>
              <wp:effectExtent l="0" t="0" r="2540" b="2540"/>
              <wp:wrapSquare wrapText="bothSides" distT="0" distB="0" distL="0" distR="0"/>
              <wp:docPr id="1038281823" name="Rectangle 1038281823"/>
              <wp:cNvGraphicFramePr/>
              <a:graphic xmlns:a="http://schemas.openxmlformats.org/drawingml/2006/main">
                <a:graphicData uri="http://schemas.microsoft.com/office/word/2010/wordprocessingShape">
                  <wps:wsp>
                    <wps:cNvSpPr/>
                    <wps:spPr>
                      <a:xfrm>
                        <a:off x="0" y="0"/>
                        <a:ext cx="4817673" cy="416560"/>
                      </a:xfrm>
                      <a:prstGeom prst="rect">
                        <a:avLst/>
                      </a:prstGeom>
                      <a:noFill/>
                      <a:ln>
                        <a:noFill/>
                      </a:ln>
                    </wps:spPr>
                    <wps:txbx>
                      <w:txbxContent>
                        <w:p w14:paraId="12FDA9E3" w14:textId="77777777" w:rsidR="00422B98" w:rsidRPr="00C95197" w:rsidRDefault="00422B98" w:rsidP="00422B98">
                          <w:pPr>
                            <w:textDirection w:val="btLr"/>
                            <w:rPr>
                              <w:rFonts w:ascii="Maiandra GD" w:eastAsia="Overlock" w:hAnsi="Maiandra GD" w:cs="Overlock"/>
                              <w:bCs/>
                              <w:i/>
                              <w:color w:val="000000"/>
                            </w:rPr>
                          </w:pPr>
                          <w:r w:rsidRPr="00422B98">
                            <w:rPr>
                              <w:rFonts w:ascii="Maiandra GD" w:hAnsi="Maiandra GD"/>
                              <w:bCs/>
                              <w:color w:val="000000"/>
                            </w:rPr>
                            <w:t>Evaluation of Tamarind Leaf (</w:t>
                          </w:r>
                          <w:r w:rsidRPr="00422B98">
                            <w:rPr>
                              <w:rFonts w:ascii="Maiandra GD" w:hAnsi="Maiandra GD"/>
                              <w:bCs/>
                              <w:i/>
                              <w:iCs/>
                              <w:color w:val="000000"/>
                            </w:rPr>
                            <w:t>Tamarindus indica</w:t>
                          </w:r>
                          <w:r w:rsidRPr="00422B98">
                            <w:rPr>
                              <w:rFonts w:ascii="Maiandra GD" w:hAnsi="Maiandra GD"/>
                              <w:bCs/>
                              <w:color w:val="000000"/>
                            </w:rPr>
                            <w:t xml:space="preserve"> L.) Ethanol Extract as a Natural Antioxidant for Improving Coconut Oil Stability and Shelf Life</w:t>
                          </w:r>
                        </w:p>
                        <w:p w14:paraId="52B08587" w14:textId="7CF9B765" w:rsidR="00042621" w:rsidRPr="0095408F" w:rsidRDefault="00042621" w:rsidP="00A11512">
                          <w:pPr>
                            <w:textDirection w:val="btLr"/>
                            <w:rPr>
                              <w:rFonts w:ascii="Maiandra GD" w:eastAsia="Overlock" w:hAnsi="Maiandra GD" w:cs="Overlock"/>
                              <w:bCs/>
                              <w:iCs/>
                              <w:color w:val="000000"/>
                            </w:rPr>
                          </w:pPr>
                        </w:p>
                      </w:txbxContent>
                    </wps:txbx>
                    <wps:bodyPr spcFirstLastPara="1" wrap="square" lIns="0" tIns="0" rIns="0" bIns="0" anchor="t" anchorCtr="0">
                      <a:noAutofit/>
                    </wps:bodyPr>
                  </wps:wsp>
                </a:graphicData>
              </a:graphic>
              <wp14:sizeRelH relativeFrom="margin">
                <wp14:pctWidth>0</wp14:pctWidth>
              </wp14:sizeRelH>
            </wp:anchor>
          </w:drawing>
        </mc:Choice>
        <mc:Fallback>
          <w:pict>
            <v:rect w14:anchorId="343C1C71" id="Rectangle 1038281823" o:spid="_x0000_s1026" style="position:absolute;margin-left:166.55pt;margin-top:87pt;width:379.35pt;height:32.8pt;z-index:251669504;visibility:visible;mso-wrap-style:square;mso-width-percent:0;mso-wrap-distance-left:0;mso-wrap-distance-top:0;mso-wrap-distance-right:0;mso-wrap-distance-bottom:0;mso-position-horizontal:absolute;mso-position-horizontal-relative:page;mso-position-vertical:absolute;mso-position-vertical-relative:top-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" filled="f" stroked="f">
              <v:textbox inset="0,0,0,0">
                <w:txbxContent>
                  <w:p w14:paraId="12FDA9E3" w14:textId="77777777" w:rsidR="00422B98" w:rsidRPr="00C95197" w:rsidRDefault="00422B98" w:rsidP="00422B98">
                    <w:pPr>
                      <w:textDirection w:val="btLr"/>
                      <w:rPr>
                        <w:rFonts w:ascii="Maiandra GD" w:eastAsia="Overlock" w:hAnsi="Maiandra GD" w:cs="Overlock"/>
                        <w:bCs/>
                        <w:i/>
                        <w:color w:val="000000"/>
                      </w:rPr>
                    </w:pPr>
                    <w:r w:rsidRPr="00422B98">
                      <w:rPr>
                        <w:rFonts w:ascii="Maiandra GD" w:hAnsi="Maiandra GD"/>
                        <w:bCs/>
                        <w:color w:val="000000"/>
                      </w:rPr>
                      <w:t>Evaluation of Tamarind Leaf (</w:t>
                    </w:r>
                    <w:r w:rsidRPr="00422B98">
                      <w:rPr>
                        <w:rFonts w:ascii="Maiandra GD" w:hAnsi="Maiandra GD"/>
                        <w:bCs/>
                        <w:i/>
                        <w:iCs/>
                        <w:color w:val="000000"/>
                      </w:rPr>
                      <w:t>Tamarindus indica</w:t>
                    </w:r>
                    <w:r w:rsidRPr="00422B98">
                      <w:rPr>
                        <w:rFonts w:ascii="Maiandra GD" w:hAnsi="Maiandra GD"/>
                        <w:bCs/>
                        <w:color w:val="000000"/>
                      </w:rPr>
                      <w:t xml:space="preserve"> L.) Ethanol Extract as a Natural Antioxidant for Improving Coconut Oil Stability and Shelf Life</w:t>
                    </w:r>
                  </w:p>
                  <w:p w14:paraId="52B08587" w14:textId="7CF9B765" w:rsidR="00042621" w:rsidRPr="0095408F" w:rsidRDefault="00042621" w:rsidP="00A11512">
                    <w:pPr>
                      <w:textDirection w:val="btLr"/>
                      <w:rPr>
                        <w:rFonts w:ascii="Maiandra GD" w:eastAsia="Overlock" w:hAnsi="Maiandra GD" w:cs="Overlock"/>
                        <w:bCs/>
                        <w:iCs/>
                        <w:color w:val="000000"/>
                      </w:rPr>
                    </w:pPr>
                  </w:p>
                </w:txbxContent>
              </v:textbox>
              <w10:wrap type="square" anchorx="page" anchory="margin"/>
            </v:rect>
          </w:pict>
        </mc:Fallback>
      </mc:AlternateContent>
    </w:r>
    <w:r>
      <w:rPr>
        <w:noProof/>
      </w:rPr>
      <mc:AlternateContent>
        <mc:Choice Requires="wps">
          <w:drawing>
            <wp:anchor distT="0" distB="0" distL="114300" distR="114300" simplePos="0" relativeHeight="251671552" behindDoc="0" locked="0" layoutInCell="1" allowOverlap="1" wp14:anchorId="255E453B" wp14:editId="2C92AEF2">
              <wp:simplePos x="0" y="0"/>
              <wp:positionH relativeFrom="margin">
                <wp:posOffset>-621030</wp:posOffset>
              </wp:positionH>
              <wp:positionV relativeFrom="paragraph">
                <wp:posOffset>161290</wp:posOffset>
              </wp:positionV>
              <wp:extent cx="1285875" cy="416560"/>
              <wp:effectExtent l="57150" t="19050" r="85725" b="97790"/>
              <wp:wrapNone/>
              <wp:docPr id="943623538" name="Rectangle 943623538"/>
              <wp:cNvGraphicFramePr/>
              <a:graphic xmlns:a="http://schemas.openxmlformats.org/drawingml/2006/main">
                <a:graphicData uri="http://schemas.microsoft.com/office/word/2010/wordprocessingShape">
                  <wps:wsp>
                    <wps:cNvSpPr/>
                    <wps:spPr>
                      <a:xfrm>
                        <a:off x="0" y="0"/>
                        <a:ext cx="1285875" cy="416560"/>
                      </a:xfrm>
                      <a:prstGeom prst="rect">
                        <a:avLst/>
                      </a:prstGeom>
                      <a:solidFill>
                        <a:srgbClr val="990000"/>
                      </a:solidFill>
                      <a:ln>
                        <a:solidFill>
                          <a:srgbClr val="990000"/>
                        </a:solidFill>
                      </a:ln>
                    </wps:spPr>
                    <wps:style>
                      <a:lnRef idx="1">
                        <a:schemeClr val="accent1"/>
                      </a:lnRef>
                      <a:fillRef idx="3">
                        <a:schemeClr val="accent1"/>
                      </a:fillRef>
                      <a:effectRef idx="2">
                        <a:schemeClr val="accent1"/>
                      </a:effectRef>
                      <a:fontRef idx="minor">
                        <a:schemeClr val="lt1"/>
                      </a:fontRef>
                    </wps:style>
                    <wps:txbx>
                      <w:txbxContent>
                        <w:p w14:paraId="58FF5B2B" w14:textId="1269B963" w:rsidR="00042621" w:rsidRPr="00D918D9" w:rsidRDefault="00422B98" w:rsidP="00042621">
                          <w:pPr>
                            <w:jc w:val="center"/>
                            <w:rPr>
                              <w:rFonts w:ascii="Maiandra GD" w:hAnsi="Maiandra GD"/>
                            </w:rPr>
                          </w:pPr>
                          <w:r>
                            <w:rPr>
                              <w:rFonts w:ascii="Maiandra GD" w:hAnsi="Maiandra GD"/>
                            </w:rPr>
                            <w:t>Sjamsiah</w:t>
                          </w:r>
                          <w:r w:rsidR="00042621" w:rsidRPr="00D918D9">
                            <w:rPr>
                              <w:rFonts w:ascii="Maiandra GD" w:hAnsi="Maiandra GD"/>
                            </w:rPr>
                            <w:t>, et 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E453B" id="Rectangle 943623538" o:spid="_x0000_s1027" style="position:absolute;margin-left:-48.9pt;margin-top:12.7pt;width:101.25pt;height:32.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" fillcolor="#900" strokecolor="#900" strokeweight=".5pt">
              <v:textbox>
                <w:txbxContent>
                  <w:p w14:paraId="58FF5B2B" w14:textId="1269B963" w:rsidR="00042621" w:rsidRPr="00D918D9" w:rsidRDefault="00422B98" w:rsidP="00042621">
                    <w:pPr>
                      <w:jc w:val="center"/>
                      <w:rPr>
                        <w:rFonts w:ascii="Maiandra GD" w:hAnsi="Maiandra GD"/>
                      </w:rPr>
                    </w:pPr>
                    <w:r>
                      <w:rPr>
                        <w:rFonts w:ascii="Maiandra GD" w:hAnsi="Maiandra GD"/>
                      </w:rPr>
                      <w:t>Sjamsiah</w:t>
                    </w:r>
                    <w:r w:rsidR="00042621" w:rsidRPr="00D918D9">
                      <w:rPr>
                        <w:rFonts w:ascii="Maiandra GD" w:hAnsi="Maiandra GD"/>
                      </w:rPr>
                      <w:t>, et al</w:t>
                    </w:r>
                  </w:p>
                </w:txbxContent>
              </v:textbox>
              <w10:wrap anchorx="margin"/>
            </v:rect>
          </w:pict>
        </mc:Fallback>
      </mc:AlternateContent>
    </w:r>
    <w:r>
      <w:rPr>
        <w:noProof/>
      </w:rPr>
      <mc:AlternateContent>
        <mc:Choice Requires="wpg">
          <w:drawing>
            <wp:anchor distT="0" distB="0" distL="114300" distR="114300" simplePos="0" relativeHeight="251670528" behindDoc="0" locked="0" layoutInCell="1" allowOverlap="1" wp14:anchorId="124E35F9" wp14:editId="5D794831">
              <wp:simplePos x="0" y="0"/>
              <wp:positionH relativeFrom="column">
                <wp:posOffset>-632106</wp:posOffset>
              </wp:positionH>
              <wp:positionV relativeFrom="paragraph">
                <wp:posOffset>160996</wp:posOffset>
              </wp:positionV>
              <wp:extent cx="5866130" cy="425227"/>
              <wp:effectExtent l="0" t="19050" r="20320" b="13335"/>
              <wp:wrapSquare wrapText="bothSides"/>
              <wp:docPr id="1087375853" name="Group 1087375853"/>
              <wp:cNvGraphicFramePr/>
              <a:graphic xmlns:a="http://schemas.openxmlformats.org/drawingml/2006/main">
                <a:graphicData uri="http://schemas.microsoft.com/office/word/2010/wordprocessingGroup">
                  <wpg:wgp>
                    <wpg:cNvGrpSpPr/>
                    <wpg:grpSpPr>
                      <a:xfrm>
                        <a:off x="0" y="0"/>
                        <a:ext cx="5866130" cy="425227"/>
                        <a:chOff x="1274" y="1451"/>
                        <a:chExt cx="9233" cy="663"/>
                      </a:xfrm>
                    </wpg:grpSpPr>
                    <wps:wsp>
                      <wps:cNvPr id="1705736633" name="Freeform: Shape 1705736633"/>
                      <wps:cNvSpPr/>
                      <wps:spPr>
                        <a:xfrm>
                          <a:off x="1289" y="1451"/>
                          <a:ext cx="2040" cy="0"/>
                        </a:xfrm>
                        <a:custGeom>
                          <a:avLst/>
                          <a:gdLst/>
                          <a:ahLst/>
                          <a:cxnLst/>
                          <a:rect l="l" t="t" r="r" b="b"/>
                          <a:pathLst>
                            <a:path w="2040" h="120000" extrusionOk="0">
                              <a:moveTo>
                                <a:pt x="0" y="0"/>
                              </a:moveTo>
                              <a:lnTo>
                                <a:pt x="2040" y="0"/>
                              </a:lnTo>
                            </a:path>
                          </a:pathLst>
                        </a:custGeom>
                        <a:noFill/>
                        <a:ln w="45450" cap="flat" cmpd="sng">
                          <a:solidFill>
                            <a:srgbClr val="990000"/>
                          </a:solidFill>
                          <a:prstDash val="solid"/>
                          <a:round/>
                          <a:headEnd type="none" w="sm" len="sm"/>
                          <a:tailEnd type="none" w="sm" len="sm"/>
                        </a:ln>
                      </wps:spPr>
                      <wps:bodyPr spcFirstLastPara="1" wrap="square" lIns="91425" tIns="91425" rIns="91425" bIns="91425" anchor="ctr" anchorCtr="0">
                        <a:noAutofit/>
                      </wps:bodyPr>
                    </wps:wsp>
                    <wps:wsp>
                      <wps:cNvPr id="921217232" name="Freeform: Shape 921217232"/>
                      <wps:cNvSpPr/>
                      <wps:spPr>
                        <a:xfrm>
                          <a:off x="1289" y="2032"/>
                          <a:ext cx="2040" cy="72"/>
                        </a:xfrm>
                        <a:custGeom>
                          <a:avLst/>
                          <a:gdLst/>
                          <a:ahLst/>
                          <a:cxnLst/>
                          <a:rect l="l" t="t" r="r" b="b"/>
                          <a:pathLst>
                            <a:path w="2040" h="72" extrusionOk="0">
                              <a:moveTo>
                                <a:pt x="0" y="72"/>
                              </a:moveTo>
                              <a:lnTo>
                                <a:pt x="2040" y="72"/>
                              </a:lnTo>
                              <a:lnTo>
                                <a:pt x="2040" y="0"/>
                              </a:lnTo>
                              <a:lnTo>
                                <a:pt x="0" y="0"/>
                              </a:lnTo>
                              <a:lnTo>
                                <a:pt x="0" y="72"/>
                              </a:lnTo>
                              <a:close/>
                            </a:path>
                          </a:pathLst>
                        </a:custGeom>
                        <a:solidFill>
                          <a:srgbClr val="990000"/>
                        </a:solidFill>
                        <a:ln>
                          <a:noFill/>
                        </a:ln>
                      </wps:spPr>
                      <wps:bodyPr spcFirstLastPara="1" wrap="square" lIns="91425" tIns="91425" rIns="91425" bIns="91425" anchor="ctr" anchorCtr="0">
                        <a:noAutofit/>
                      </wps:bodyPr>
                    </wps:wsp>
                    <wps:wsp>
                      <wps:cNvPr id="688615085" name="Freeform: Shape 688615085"/>
                      <wps:cNvSpPr/>
                      <wps:spPr>
                        <a:xfrm>
                          <a:off x="1274" y="2102"/>
                          <a:ext cx="2054" cy="12"/>
                        </a:xfrm>
                        <a:custGeom>
                          <a:avLst/>
                          <a:gdLst/>
                          <a:ahLst/>
                          <a:cxnLst/>
                          <a:rect l="l" t="t" r="r" b="b"/>
                          <a:pathLst>
                            <a:path w="2054" h="12" extrusionOk="0">
                              <a:moveTo>
                                <a:pt x="0" y="11"/>
                              </a:moveTo>
                              <a:lnTo>
                                <a:pt x="2055" y="11"/>
                              </a:lnTo>
                              <a:lnTo>
                                <a:pt x="2055" y="0"/>
                              </a:lnTo>
                              <a:lnTo>
                                <a:pt x="0" y="0"/>
                              </a:lnTo>
                              <a:lnTo>
                                <a:pt x="0" y="11"/>
                              </a:lnTo>
                              <a:close/>
                            </a:path>
                          </a:pathLst>
                        </a:custGeom>
                        <a:solidFill>
                          <a:srgbClr val="C15911"/>
                        </a:solidFill>
                        <a:ln>
                          <a:noFill/>
                        </a:ln>
                      </wps:spPr>
                      <wps:bodyPr spcFirstLastPara="1" wrap="square" lIns="91425" tIns="91425" rIns="91425" bIns="91425" anchor="ctr" anchorCtr="0">
                        <a:noAutofit/>
                      </wps:bodyPr>
                    </wps:wsp>
                    <wps:wsp>
                      <wps:cNvPr id="391748081" name="Freeform: Shape 391748081"/>
                      <wps:cNvSpPr/>
                      <wps:spPr>
                        <a:xfrm>
                          <a:off x="3314" y="2107"/>
                          <a:ext cx="10" cy="0"/>
                        </a:xfrm>
                        <a:custGeom>
                          <a:avLst/>
                          <a:gdLst/>
                          <a:ahLst/>
                          <a:cxnLst/>
                          <a:rect l="l" t="t" r="r" b="b"/>
                          <a:pathLst>
                            <a:path w="10" h="120000" extrusionOk="0">
                              <a:moveTo>
                                <a:pt x="0" y="0"/>
                              </a:moveTo>
                              <a:lnTo>
                                <a:pt x="1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04882989" name="Freeform: Shape 104882989"/>
                      <wps:cNvSpPr/>
                      <wps:spPr>
                        <a:xfrm>
                          <a:off x="3324" y="2107"/>
                          <a:ext cx="7183" cy="0"/>
                        </a:xfrm>
                        <a:custGeom>
                          <a:avLst/>
                          <a:gdLst/>
                          <a:ahLst/>
                          <a:cxnLst/>
                          <a:rect l="l" t="t" r="r" b="b"/>
                          <a:pathLst>
                            <a:path w="7183" h="120000" extrusionOk="0">
                              <a:moveTo>
                                <a:pt x="0" y="0"/>
                              </a:moveTo>
                              <a:lnTo>
                                <a:pt x="7183"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wgp>
                </a:graphicData>
              </a:graphic>
              <wp14:sizeRelV relativeFrom="margin">
                <wp14:pctHeight>0</wp14:pctHeight>
              </wp14:sizeRelV>
            </wp:anchor>
          </w:drawing>
        </mc:Choice>
        <mc:Fallback>
          <w:pict>
            <v:group w14:anchorId="2B4AC80F" id="Group 1087375853" o:spid="_x0000_s1026" style="position:absolute;margin-left:-49.75pt;margin-top:12.7pt;width:461.9pt;height:33.5pt;z-index:251670528;mso-height-relative:margin" coordorigin="1274,1451" coordsize="92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">
              <v:shape id="Freeform: Shape 1705736633" o:spid="_x0000_s1027" style="position:absolute;left:1289;top:1451;width:2040;height:0;visibility:visible;mso-wrap-style:square;v-text-anchor:middle" coordsize="204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" path="m,l2040,e" filled="f" strokecolor="#900" strokeweight="1.2625mm">
                <v:stroke startarrowwidth="narrow" startarrowlength="short" endarrowwidth="narrow" endarrowlength="short"/>
                <v:path arrowok="t" o:extrusionok="f"/>
              </v:shape>
              <v:shape id="Freeform: Shape 921217232" o:spid="_x0000_s1028" style="position:absolute;left:1289;top:2032;width:2040;height:72;visibility:visible;mso-wrap-style:square;v-text-anchor:middle" coordsize="20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" path="m,72r2040,l2040,,,,,72xe" fillcolor="#900" stroked="f">
                <v:path arrowok="t" o:extrusionok="f"/>
              </v:shape>
              <v:shape id="Freeform: Shape 688615085" o:spid="_x0000_s1029" style="position:absolute;left:1274;top:2102;width:2054;height:12;visibility:visible;mso-wrap-style:square;v-text-anchor:middle" coordsize="20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" path="m,11r2055,l2055,,,,,11xe" fillcolor="#c15911" stroked="f">
                <v:path arrowok="t" o:extrusionok="f"/>
              </v:shape>
              <v:shape id="Freeform: Shape 391748081" o:spid="_x0000_s1030" style="position:absolute;left:3314;top:2107;width:10;height:0;visibility:visible;mso-wrap-style:square;v-text-anchor:middle" coordsize="1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" path="m,l10,e" filled="f">
                <v:stroke startarrowwidth="narrow" startarrowlength="short" endarrowwidth="narrow" endarrowlength="short"/>
                <v:path arrowok="t" o:extrusionok="f"/>
              </v:shape>
              <v:shape id="Freeform: Shape 104882989" o:spid="_x0000_s1031" style="position:absolute;left:3324;top:2107;width:7183;height:0;visibility:visible;mso-wrap-style:square;v-text-anchor:middle" coordsize="718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" path="m,l7183,e" filled="f">
                <v:stroke startarrowwidth="narrow" startarrowlength="short" endarrowwidth="narrow" endarrowlength="short"/>
                <v:path arrowok="t" o:extrusionok="f"/>
              </v:shape>
              <w10:wrap type="square"/>
            </v:group>
          </w:pict>
        </mc:Fallback>
      </mc:AlternateContent>
    </w:r>
  </w:p>
  <w:p w14:paraId="0A8D7ED9" w14:textId="77777777" w:rsidR="003606E4" w:rsidRDefault="003606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22CE" w14:textId="67B0DC82" w:rsidR="00C95197" w:rsidRDefault="00C95197" w:rsidP="00C95197">
    <w:pPr>
      <w:spacing w:line="200" w:lineRule="auto"/>
    </w:pPr>
    <w:r>
      <w:rPr>
        <w:noProof/>
      </w:rPr>
      <mc:AlternateContent>
        <mc:Choice Requires="wps">
          <w:drawing>
            <wp:anchor distT="0" distB="0" distL="0" distR="0" simplePos="0" relativeHeight="251663360" behindDoc="0" locked="0" layoutInCell="1" hidden="0" allowOverlap="1" wp14:anchorId="5986881A" wp14:editId="79FA7745">
              <wp:simplePos x="0" y="0"/>
              <wp:positionH relativeFrom="page">
                <wp:posOffset>2128838</wp:posOffset>
              </wp:positionH>
              <wp:positionV relativeFrom="topMargin">
                <wp:posOffset>1104900</wp:posOffset>
              </wp:positionV>
              <wp:extent cx="4804092" cy="416560"/>
              <wp:effectExtent l="0" t="0" r="15875" b="2540"/>
              <wp:wrapSquare wrapText="bothSides" distT="0" distB="0" distL="0" distR="0"/>
              <wp:docPr id="7" name="Rectangle 7"/>
              <wp:cNvGraphicFramePr/>
              <a:graphic xmlns:a="http://schemas.openxmlformats.org/drawingml/2006/main">
                <a:graphicData uri="http://schemas.microsoft.com/office/word/2010/wordprocessingShape">
                  <wps:wsp>
                    <wps:cNvSpPr/>
                    <wps:spPr>
                      <a:xfrm>
                        <a:off x="0" y="0"/>
                        <a:ext cx="4804092" cy="416560"/>
                      </a:xfrm>
                      <a:prstGeom prst="rect">
                        <a:avLst/>
                      </a:prstGeom>
                      <a:noFill/>
                      <a:ln>
                        <a:noFill/>
                      </a:ln>
                    </wps:spPr>
                    <wps:txbx>
                      <w:txbxContent>
                        <w:p w14:paraId="501F2B6F" w14:textId="6F606EBF" w:rsidR="00C95197" w:rsidRPr="00C95197" w:rsidRDefault="00422B98" w:rsidP="0095408F">
                          <w:pPr>
                            <w:textDirection w:val="btLr"/>
                            <w:rPr>
                              <w:rFonts w:ascii="Maiandra GD" w:eastAsia="Overlock" w:hAnsi="Maiandra GD" w:cs="Overlock"/>
                              <w:bCs/>
                              <w:i/>
                              <w:color w:val="000000"/>
                            </w:rPr>
                          </w:pPr>
                          <w:r w:rsidRPr="00422B98">
                            <w:rPr>
                              <w:rFonts w:ascii="Maiandra GD" w:hAnsi="Maiandra GD"/>
                              <w:bCs/>
                              <w:color w:val="000000"/>
                            </w:rPr>
                            <w:t>Evaluation of Tamarind Leaf (</w:t>
                          </w:r>
                          <w:r w:rsidRPr="00422B98">
                            <w:rPr>
                              <w:rFonts w:ascii="Maiandra GD" w:hAnsi="Maiandra GD"/>
                              <w:bCs/>
                              <w:i/>
                              <w:iCs/>
                              <w:color w:val="000000"/>
                            </w:rPr>
                            <w:t>Tamarindus indica</w:t>
                          </w:r>
                          <w:r w:rsidRPr="00422B98">
                            <w:rPr>
                              <w:rFonts w:ascii="Maiandra GD" w:hAnsi="Maiandra GD"/>
                              <w:bCs/>
                              <w:color w:val="000000"/>
                            </w:rPr>
                            <w:t xml:space="preserve"> L.) Ethanol Extract as a Natural Antioxidant for Improving Coconut Oil Stability and Shelf Life</w:t>
                          </w:r>
                        </w:p>
                      </w:txbxContent>
                    </wps:txbx>
                    <wps:bodyPr spcFirstLastPara="1" wrap="square" lIns="0" tIns="0" rIns="0" bIns="0" anchor="t" anchorCtr="0">
                      <a:noAutofit/>
                    </wps:bodyPr>
                  </wps:wsp>
                </a:graphicData>
              </a:graphic>
              <wp14:sizeRelH relativeFrom="margin">
                <wp14:pctWidth>0</wp14:pctWidth>
              </wp14:sizeRelH>
            </wp:anchor>
          </w:drawing>
        </mc:Choice>
        <mc:Fallback>
          <w:pict>
            <v:rect w14:anchorId="5986881A" id="Rectangle 7" o:spid="_x0000_s1028" style="position:absolute;margin-left:167.65pt;margin-top:87pt;width:378.25pt;height:32.8pt;z-index:251663360;visibility:visible;mso-wrap-style:square;mso-width-percent:0;mso-wrap-distance-left:0;mso-wrap-distance-top:0;mso-wrap-distance-right:0;mso-wrap-distance-bottom:0;mso-position-horizontal:absolute;mso-position-horizontal-relative:page;mso-position-vertical:absolute;mso-position-vertical-relative:top-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" filled="f" stroked="f">
              <v:textbox inset="0,0,0,0">
                <w:txbxContent>
                  <w:p w14:paraId="501F2B6F" w14:textId="6F606EBF" w:rsidR="00C95197" w:rsidRPr="00C95197" w:rsidRDefault="00422B98" w:rsidP="0095408F">
                    <w:pPr>
                      <w:textDirection w:val="btLr"/>
                      <w:rPr>
                        <w:rFonts w:ascii="Maiandra GD" w:eastAsia="Overlock" w:hAnsi="Maiandra GD" w:cs="Overlock"/>
                        <w:bCs/>
                        <w:i/>
                        <w:color w:val="000000"/>
                      </w:rPr>
                    </w:pPr>
                    <w:r w:rsidRPr="00422B98">
                      <w:rPr>
                        <w:rFonts w:ascii="Maiandra GD" w:hAnsi="Maiandra GD"/>
                        <w:bCs/>
                        <w:color w:val="000000"/>
                      </w:rPr>
                      <w:t>Evaluation of Tamarind Leaf (</w:t>
                    </w:r>
                    <w:r w:rsidRPr="00422B98">
                      <w:rPr>
                        <w:rFonts w:ascii="Maiandra GD" w:hAnsi="Maiandra GD"/>
                        <w:bCs/>
                        <w:i/>
                        <w:iCs/>
                        <w:color w:val="000000"/>
                      </w:rPr>
                      <w:t>Tamarindus indica</w:t>
                    </w:r>
                    <w:r w:rsidRPr="00422B98">
                      <w:rPr>
                        <w:rFonts w:ascii="Maiandra GD" w:hAnsi="Maiandra GD"/>
                        <w:bCs/>
                        <w:color w:val="000000"/>
                      </w:rPr>
                      <w:t xml:space="preserve"> L.) Ethanol Extract as a Natural Antioxidant for Improving Coconut Oil Stability and Shelf Life</w:t>
                    </w:r>
                  </w:p>
                </w:txbxContent>
              </v:textbox>
              <w10:wrap type="square" anchorx="page" anchory="margin"/>
            </v:rect>
          </w:pict>
        </mc:Fallback>
      </mc:AlternateContent>
    </w:r>
    <w:r>
      <w:rPr>
        <w:noProof/>
      </w:rPr>
      <mc:AlternateContent>
        <mc:Choice Requires="wps">
          <w:drawing>
            <wp:anchor distT="0" distB="0" distL="114300" distR="114300" simplePos="0" relativeHeight="251665408" behindDoc="0" locked="0" layoutInCell="1" allowOverlap="1" wp14:anchorId="568E1EBD" wp14:editId="2ECDC8B2">
              <wp:simplePos x="0" y="0"/>
              <wp:positionH relativeFrom="margin">
                <wp:posOffset>-621030</wp:posOffset>
              </wp:positionH>
              <wp:positionV relativeFrom="paragraph">
                <wp:posOffset>161290</wp:posOffset>
              </wp:positionV>
              <wp:extent cx="1285875" cy="416560"/>
              <wp:effectExtent l="57150" t="19050" r="85725" b="97790"/>
              <wp:wrapNone/>
              <wp:docPr id="11" name="Rectangle 11"/>
              <wp:cNvGraphicFramePr/>
              <a:graphic xmlns:a="http://schemas.openxmlformats.org/drawingml/2006/main">
                <a:graphicData uri="http://schemas.microsoft.com/office/word/2010/wordprocessingShape">
                  <wps:wsp>
                    <wps:cNvSpPr/>
                    <wps:spPr>
                      <a:xfrm>
                        <a:off x="0" y="0"/>
                        <a:ext cx="1285875" cy="416560"/>
                      </a:xfrm>
                      <a:prstGeom prst="rect">
                        <a:avLst/>
                      </a:prstGeom>
                      <a:solidFill>
                        <a:srgbClr val="990000"/>
                      </a:solidFill>
                      <a:ln>
                        <a:solidFill>
                          <a:srgbClr val="990000"/>
                        </a:solidFill>
                      </a:ln>
                    </wps:spPr>
                    <wps:style>
                      <a:lnRef idx="1">
                        <a:schemeClr val="accent1"/>
                      </a:lnRef>
                      <a:fillRef idx="3">
                        <a:schemeClr val="accent1"/>
                      </a:fillRef>
                      <a:effectRef idx="2">
                        <a:schemeClr val="accent1"/>
                      </a:effectRef>
                      <a:fontRef idx="minor">
                        <a:schemeClr val="lt1"/>
                      </a:fontRef>
                    </wps:style>
                    <wps:txbx>
                      <w:txbxContent>
                        <w:p w14:paraId="56E7C949" w14:textId="34004AAC" w:rsidR="00C95197" w:rsidRPr="00D918D9" w:rsidRDefault="00422B98" w:rsidP="00C95197">
                          <w:pPr>
                            <w:jc w:val="center"/>
                            <w:rPr>
                              <w:rFonts w:ascii="Maiandra GD" w:hAnsi="Maiandra GD"/>
                            </w:rPr>
                          </w:pPr>
                          <w:r>
                            <w:rPr>
                              <w:rFonts w:ascii="Maiandra GD" w:hAnsi="Maiandra GD"/>
                            </w:rPr>
                            <w:t>Sjamsiah</w:t>
                          </w:r>
                          <w:r w:rsidR="00C95197" w:rsidRPr="00D918D9">
                            <w:rPr>
                              <w:rFonts w:ascii="Maiandra GD" w:hAnsi="Maiandra GD"/>
                            </w:rPr>
                            <w:t>, et 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E1EBD" id="Rectangle 11" o:spid="_x0000_s1029" style="position:absolute;margin-left:-48.9pt;margin-top:12.7pt;width:101.25pt;height:32.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" fillcolor="#900" strokecolor="#900" strokeweight=".5pt">
              <v:textbox>
                <w:txbxContent>
                  <w:p w14:paraId="56E7C949" w14:textId="34004AAC" w:rsidR="00C95197" w:rsidRPr="00D918D9" w:rsidRDefault="00422B98" w:rsidP="00C95197">
                    <w:pPr>
                      <w:jc w:val="center"/>
                      <w:rPr>
                        <w:rFonts w:ascii="Maiandra GD" w:hAnsi="Maiandra GD"/>
                      </w:rPr>
                    </w:pPr>
                    <w:r>
                      <w:rPr>
                        <w:rFonts w:ascii="Maiandra GD" w:hAnsi="Maiandra GD"/>
                      </w:rPr>
                      <w:t>Sjamsiah</w:t>
                    </w:r>
                    <w:r w:rsidR="00C95197" w:rsidRPr="00D918D9">
                      <w:rPr>
                        <w:rFonts w:ascii="Maiandra GD" w:hAnsi="Maiandra GD"/>
                      </w:rPr>
                      <w:t>, et al</w:t>
                    </w:r>
                  </w:p>
                </w:txbxContent>
              </v:textbox>
              <w10:wrap anchorx="margin"/>
            </v:rect>
          </w:pict>
        </mc:Fallback>
      </mc:AlternateContent>
    </w:r>
    <w:r>
      <w:rPr>
        <w:noProof/>
      </w:rPr>
      <mc:AlternateContent>
        <mc:Choice Requires="wpg">
          <w:drawing>
            <wp:anchor distT="0" distB="0" distL="114300" distR="114300" simplePos="0" relativeHeight="251664384" behindDoc="0" locked="0" layoutInCell="1" allowOverlap="1" wp14:anchorId="031C9B59" wp14:editId="7B805F19">
              <wp:simplePos x="0" y="0"/>
              <wp:positionH relativeFrom="column">
                <wp:posOffset>-632106</wp:posOffset>
              </wp:positionH>
              <wp:positionV relativeFrom="paragraph">
                <wp:posOffset>160996</wp:posOffset>
              </wp:positionV>
              <wp:extent cx="5866130" cy="425227"/>
              <wp:effectExtent l="0" t="19050" r="20320" b="13335"/>
              <wp:wrapSquare wrapText="bothSides"/>
              <wp:docPr id="23" name="Group 23"/>
              <wp:cNvGraphicFramePr/>
              <a:graphic xmlns:a="http://schemas.openxmlformats.org/drawingml/2006/main">
                <a:graphicData uri="http://schemas.microsoft.com/office/word/2010/wordprocessingGroup">
                  <wpg:wgp>
                    <wpg:cNvGrpSpPr/>
                    <wpg:grpSpPr>
                      <a:xfrm>
                        <a:off x="0" y="0"/>
                        <a:ext cx="5866130" cy="425227"/>
                        <a:chOff x="1274" y="1451"/>
                        <a:chExt cx="9233" cy="663"/>
                      </a:xfrm>
                    </wpg:grpSpPr>
                    <wps:wsp>
                      <wps:cNvPr id="30" name="Freeform: Shape 30"/>
                      <wps:cNvSpPr/>
                      <wps:spPr>
                        <a:xfrm>
                          <a:off x="1289" y="1451"/>
                          <a:ext cx="2040" cy="0"/>
                        </a:xfrm>
                        <a:custGeom>
                          <a:avLst/>
                          <a:gdLst/>
                          <a:ahLst/>
                          <a:cxnLst/>
                          <a:rect l="l" t="t" r="r" b="b"/>
                          <a:pathLst>
                            <a:path w="2040" h="120000" extrusionOk="0">
                              <a:moveTo>
                                <a:pt x="0" y="0"/>
                              </a:moveTo>
                              <a:lnTo>
                                <a:pt x="2040" y="0"/>
                              </a:lnTo>
                            </a:path>
                          </a:pathLst>
                        </a:custGeom>
                        <a:noFill/>
                        <a:ln w="45450" cap="flat" cmpd="sng">
                          <a:solidFill>
                            <a:srgbClr val="990000"/>
                          </a:solidFill>
                          <a:prstDash val="solid"/>
                          <a:round/>
                          <a:headEnd type="none" w="sm" len="sm"/>
                          <a:tailEnd type="none" w="sm" len="sm"/>
                        </a:ln>
                      </wps:spPr>
                      <wps:bodyPr spcFirstLastPara="1" wrap="square" lIns="91425" tIns="91425" rIns="91425" bIns="91425" anchor="ctr" anchorCtr="0">
                        <a:noAutofit/>
                      </wps:bodyPr>
                    </wps:wsp>
                    <wps:wsp>
                      <wps:cNvPr id="31" name="Freeform: Shape 31"/>
                      <wps:cNvSpPr/>
                      <wps:spPr>
                        <a:xfrm>
                          <a:off x="1289" y="2032"/>
                          <a:ext cx="2040" cy="72"/>
                        </a:xfrm>
                        <a:custGeom>
                          <a:avLst/>
                          <a:gdLst/>
                          <a:ahLst/>
                          <a:cxnLst/>
                          <a:rect l="l" t="t" r="r" b="b"/>
                          <a:pathLst>
                            <a:path w="2040" h="72" extrusionOk="0">
                              <a:moveTo>
                                <a:pt x="0" y="72"/>
                              </a:moveTo>
                              <a:lnTo>
                                <a:pt x="2040" y="72"/>
                              </a:lnTo>
                              <a:lnTo>
                                <a:pt x="2040" y="0"/>
                              </a:lnTo>
                              <a:lnTo>
                                <a:pt x="0" y="0"/>
                              </a:lnTo>
                              <a:lnTo>
                                <a:pt x="0" y="72"/>
                              </a:lnTo>
                              <a:close/>
                            </a:path>
                          </a:pathLst>
                        </a:custGeom>
                        <a:solidFill>
                          <a:srgbClr val="990000"/>
                        </a:solidFill>
                        <a:ln>
                          <a:noFill/>
                        </a:ln>
                      </wps:spPr>
                      <wps:bodyPr spcFirstLastPara="1" wrap="square" lIns="91425" tIns="91425" rIns="91425" bIns="91425" anchor="ctr" anchorCtr="0">
                        <a:noAutofit/>
                      </wps:bodyPr>
                    </wps:wsp>
                    <wps:wsp>
                      <wps:cNvPr id="32" name="Freeform: Shape 32"/>
                      <wps:cNvSpPr/>
                      <wps:spPr>
                        <a:xfrm>
                          <a:off x="1274" y="2102"/>
                          <a:ext cx="2054" cy="12"/>
                        </a:xfrm>
                        <a:custGeom>
                          <a:avLst/>
                          <a:gdLst/>
                          <a:ahLst/>
                          <a:cxnLst/>
                          <a:rect l="l" t="t" r="r" b="b"/>
                          <a:pathLst>
                            <a:path w="2054" h="12" extrusionOk="0">
                              <a:moveTo>
                                <a:pt x="0" y="11"/>
                              </a:moveTo>
                              <a:lnTo>
                                <a:pt x="2055" y="11"/>
                              </a:lnTo>
                              <a:lnTo>
                                <a:pt x="2055" y="0"/>
                              </a:lnTo>
                              <a:lnTo>
                                <a:pt x="0" y="0"/>
                              </a:lnTo>
                              <a:lnTo>
                                <a:pt x="0" y="11"/>
                              </a:lnTo>
                              <a:close/>
                            </a:path>
                          </a:pathLst>
                        </a:custGeom>
                        <a:solidFill>
                          <a:srgbClr val="C15911"/>
                        </a:solidFill>
                        <a:ln>
                          <a:noFill/>
                        </a:ln>
                      </wps:spPr>
                      <wps:bodyPr spcFirstLastPara="1" wrap="square" lIns="91425" tIns="91425" rIns="91425" bIns="91425" anchor="ctr" anchorCtr="0">
                        <a:noAutofit/>
                      </wps:bodyPr>
                    </wps:wsp>
                    <wps:wsp>
                      <wps:cNvPr id="33" name="Freeform: Shape 33"/>
                      <wps:cNvSpPr/>
                      <wps:spPr>
                        <a:xfrm>
                          <a:off x="3314" y="2107"/>
                          <a:ext cx="10" cy="0"/>
                        </a:xfrm>
                        <a:custGeom>
                          <a:avLst/>
                          <a:gdLst/>
                          <a:ahLst/>
                          <a:cxnLst/>
                          <a:rect l="l" t="t" r="r" b="b"/>
                          <a:pathLst>
                            <a:path w="10" h="120000" extrusionOk="0">
                              <a:moveTo>
                                <a:pt x="0" y="0"/>
                              </a:moveTo>
                              <a:lnTo>
                                <a:pt x="1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34" name="Freeform: Shape 34"/>
                      <wps:cNvSpPr/>
                      <wps:spPr>
                        <a:xfrm>
                          <a:off x="3324" y="2107"/>
                          <a:ext cx="7183" cy="0"/>
                        </a:xfrm>
                        <a:custGeom>
                          <a:avLst/>
                          <a:gdLst/>
                          <a:ahLst/>
                          <a:cxnLst/>
                          <a:rect l="l" t="t" r="r" b="b"/>
                          <a:pathLst>
                            <a:path w="7183" h="120000" extrusionOk="0">
                              <a:moveTo>
                                <a:pt x="0" y="0"/>
                              </a:moveTo>
                              <a:lnTo>
                                <a:pt x="7183"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wgp>
                </a:graphicData>
              </a:graphic>
              <wp14:sizeRelV relativeFrom="margin">
                <wp14:pctHeight>0</wp14:pctHeight>
              </wp14:sizeRelV>
            </wp:anchor>
          </w:drawing>
        </mc:Choice>
        <mc:Fallback>
          <w:pict>
            <v:group w14:anchorId="60A3D395" id="Group 23" o:spid="_x0000_s1026" style="position:absolute;margin-left:-49.75pt;margin-top:12.7pt;width:461.9pt;height:33.5pt;z-index:251664384;mso-height-relative:margin" coordorigin="1274,1451" coordsize="92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">
              <v:shape id="Freeform: Shape 30" o:spid="_x0000_s1027" style="position:absolute;left:1289;top:1451;width:2040;height:0;visibility:visible;mso-wrap-style:square;v-text-anchor:middle" coordsize="204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" path="m,l2040,e" filled="f" strokecolor="#900" strokeweight="1.2625mm">
                <v:stroke startarrowwidth="narrow" startarrowlength="short" endarrowwidth="narrow" endarrowlength="short"/>
                <v:path arrowok="t" o:extrusionok="f"/>
              </v:shape>
              <v:shape id="Freeform: Shape 31" o:spid="_x0000_s1028" style="position:absolute;left:1289;top:2032;width:2040;height:72;visibility:visible;mso-wrap-style:square;v-text-anchor:middle" coordsize="20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" path="m,72r2040,l2040,,,,,72xe" fillcolor="#900" stroked="f">
                <v:path arrowok="t" o:extrusionok="f"/>
              </v:shape>
              <v:shape id="Freeform: Shape 32" o:spid="_x0000_s1029" style="position:absolute;left:1274;top:2102;width:2054;height:12;visibility:visible;mso-wrap-style:square;v-text-anchor:middle" coordsize="20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" path="m,11r2055,l2055,,,,,11xe" fillcolor="#c15911" stroked="f">
                <v:path arrowok="t" o:extrusionok="f"/>
              </v:shape>
              <v:shape id="Freeform: Shape 33" o:spid="_x0000_s1030" style="position:absolute;left:3314;top:2107;width:10;height:0;visibility:visible;mso-wrap-style:square;v-text-anchor:middle" coordsize="1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" path="m,l10,e" filled="f">
                <v:stroke startarrowwidth="narrow" startarrowlength="short" endarrowwidth="narrow" endarrowlength="short"/>
                <v:path arrowok="t" o:extrusionok="f"/>
              </v:shape>
              <v:shape id="Freeform: Shape 34" o:spid="_x0000_s1031" style="position:absolute;left:3324;top:2107;width:7183;height:0;visibility:visible;mso-wrap-style:square;v-text-anchor:middle" coordsize="718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" path="m,l7183,e" filled="f">
                <v:stroke startarrowwidth="narrow" startarrowlength="short" endarrowwidth="narrow" endarrowlength="short"/>
                <v:path arrowok="t" o:extrusionok="f"/>
              </v:shape>
              <w10:wrap type="square"/>
            </v:group>
          </w:pict>
        </mc:Fallback>
      </mc:AlternateContent>
    </w:r>
  </w:p>
  <w:p w14:paraId="499AC59F" w14:textId="7B326208" w:rsidR="006B14A0" w:rsidRDefault="006B14A0">
    <w:pPr>
      <w:spacing w:line="20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E378" w14:textId="02C51421" w:rsidR="006B14A0" w:rsidRDefault="00840347">
    <w:pPr>
      <w:spacing w:before="76"/>
      <w:rPr>
        <w:sz w:val="19"/>
        <w:szCs w:val="19"/>
      </w:rPr>
    </w:pPr>
    <w:r>
      <w:rPr>
        <w:b/>
        <w:color w:val="BF0000"/>
        <w:sz w:val="19"/>
        <w:szCs w:val="19"/>
      </w:rPr>
      <w:t xml:space="preserve">Al-Kimia, </w:t>
    </w:r>
    <w:r>
      <w:rPr>
        <w:noProof/>
      </w:rPr>
      <w:drawing>
        <wp:anchor distT="0" distB="0" distL="114300" distR="114300" simplePos="0" relativeHeight="251661312" behindDoc="0" locked="0" layoutInCell="1" hidden="0" allowOverlap="1" wp14:anchorId="66691D5B" wp14:editId="69982870">
          <wp:simplePos x="0" y="0"/>
          <wp:positionH relativeFrom="column">
            <wp:posOffset>-609599</wp:posOffset>
          </wp:positionH>
          <wp:positionV relativeFrom="paragraph">
            <wp:posOffset>-209549</wp:posOffset>
          </wp:positionV>
          <wp:extent cx="1476375" cy="654918"/>
          <wp:effectExtent l="0" t="0" r="0" b="0"/>
          <wp:wrapSquare wrapText="bothSides" distT="0" distB="0" distL="114300" distR="114300"/>
          <wp:docPr id="1977338986" name="image2.png" descr="C:\Users\ASUS\Downloads\LOGO AL KIMIA FIX1.png"/>
          <wp:cNvGraphicFramePr/>
          <a:graphic xmlns:a="http://schemas.openxmlformats.org/drawingml/2006/main">
            <a:graphicData uri="http://schemas.openxmlformats.org/drawingml/2006/picture">
              <pic:pic xmlns:pic="http://schemas.openxmlformats.org/drawingml/2006/picture">
                <pic:nvPicPr>
                  <pic:cNvPr id="0" name="image2.png" descr="C:\Users\ASUS\Downloads\LOGO AL KIMIA FIX1.png"/>
                  <pic:cNvPicPr preferRelativeResize="0"/>
                </pic:nvPicPr>
                <pic:blipFill>
                  <a:blip r:embed="rId1"/>
                  <a:srcRect/>
                  <a:stretch>
                    <a:fillRect/>
                  </a:stretch>
                </pic:blipFill>
                <pic:spPr>
                  <a:xfrm>
                    <a:off x="0" y="0"/>
                    <a:ext cx="1476375" cy="654918"/>
                  </a:xfrm>
                  <a:prstGeom prst="rect">
                    <a:avLst/>
                  </a:prstGeom>
                  <a:ln/>
                </pic:spPr>
              </pic:pic>
            </a:graphicData>
          </a:graphic>
        </wp:anchor>
      </w:drawing>
    </w:r>
    <w:r w:rsidR="00746746">
      <w:rPr>
        <w:b/>
        <w:color w:val="BF0000"/>
        <w:sz w:val="19"/>
        <w:szCs w:val="19"/>
      </w:rPr>
      <w:t>1</w:t>
    </w:r>
    <w:r w:rsidR="00FC0266">
      <w:rPr>
        <w:b/>
        <w:color w:val="BF0000"/>
        <w:sz w:val="19"/>
        <w:szCs w:val="19"/>
      </w:rPr>
      <w:t>4</w:t>
    </w:r>
    <w:r w:rsidR="00746746">
      <w:rPr>
        <w:b/>
        <w:color w:val="BF0000"/>
        <w:sz w:val="19"/>
        <w:szCs w:val="19"/>
      </w:rPr>
      <w:t>-</w:t>
    </w:r>
    <w:r w:rsidR="00FC0266">
      <w:rPr>
        <w:b/>
        <w:color w:val="BF0000"/>
        <w:sz w:val="19"/>
        <w:szCs w:val="19"/>
      </w:rPr>
      <w:t>1</w:t>
    </w:r>
    <w:r w:rsidR="00746746">
      <w:rPr>
        <w:b/>
        <w:color w:val="BF0000"/>
        <w:sz w:val="19"/>
        <w:szCs w:val="19"/>
      </w:rPr>
      <w:t>-202</w:t>
    </w:r>
    <w:r w:rsidR="00FC0266">
      <w:rPr>
        <w:b/>
        <w:color w:val="BF0000"/>
        <w:sz w:val="19"/>
        <w:szCs w:val="19"/>
      </w:rPr>
      <w:t>6</w:t>
    </w:r>
    <w:r w:rsidR="00746746">
      <w:rPr>
        <w:b/>
        <w:color w:val="BF0000"/>
        <w:sz w:val="19"/>
        <w:szCs w:val="19"/>
      </w:rPr>
      <w:t xml:space="preserve">, </w:t>
    </w:r>
    <w:r w:rsidR="00C07A82">
      <w:rPr>
        <w:b/>
        <w:color w:val="BF0000"/>
        <w:sz w:val="19"/>
        <w:szCs w:val="19"/>
      </w:rPr>
      <w:t>49</w:t>
    </w:r>
    <w:r w:rsidR="00746746">
      <w:rPr>
        <w:b/>
        <w:color w:val="BF0000"/>
        <w:sz w:val="19"/>
        <w:szCs w:val="19"/>
      </w:rPr>
      <w:t>-</w:t>
    </w:r>
    <w:r w:rsidR="00422B98">
      <w:rPr>
        <w:b/>
        <w:color w:val="BF0000"/>
        <w:sz w:val="19"/>
        <w:szCs w:val="19"/>
      </w:rPr>
      <w:t>6</w:t>
    </w:r>
    <w:r w:rsidR="00C07A82">
      <w:rPr>
        <w:b/>
        <w:color w:val="BF0000"/>
        <w:sz w:val="19"/>
        <w:szCs w:val="19"/>
      </w:rPr>
      <w:t>2</w:t>
    </w:r>
  </w:p>
  <w:p w14:paraId="06913416" w14:textId="77777777" w:rsidR="006B14A0" w:rsidRDefault="00840347">
    <w:pPr>
      <w:spacing w:line="200" w:lineRule="auto"/>
      <w:ind w:left="102"/>
      <w:rPr>
        <w:sz w:val="19"/>
        <w:szCs w:val="19"/>
      </w:rPr>
    </w:pPr>
    <w:r>
      <w:rPr>
        <w:color w:val="BF0000"/>
        <w:sz w:val="19"/>
        <w:szCs w:val="19"/>
      </w:rPr>
      <w:t xml:space="preserve">Available online at: </w:t>
    </w:r>
    <w:hyperlink r:id="rId2">
      <w:r>
        <w:rPr>
          <w:color w:val="BF0000"/>
          <w:sz w:val="19"/>
          <w:szCs w:val="19"/>
        </w:rPr>
        <w:t>http://journal.uin-alauddin.ac.id/index.php/</w:t>
      </w:r>
    </w:hyperlink>
    <w:r>
      <w:rPr>
        <w:color w:val="BF0000"/>
        <w:sz w:val="19"/>
        <w:szCs w:val="19"/>
      </w:rPr>
      <w:t>al-kimia</w:t>
    </w:r>
  </w:p>
  <w:p w14:paraId="0B87DA08" w14:textId="77777777" w:rsidR="006B14A0" w:rsidRDefault="006B14A0">
    <w:pPr>
      <w:pBdr>
        <w:top w:val="nil"/>
        <w:left w:val="nil"/>
        <w:bottom w:val="nil"/>
        <w:right w:val="nil"/>
        <w:between w:val="nil"/>
      </w:pBdr>
      <w:tabs>
        <w:tab w:val="center" w:pos="4680"/>
        <w:tab w:val="right" w:pos="9360"/>
      </w:tabs>
      <w:rPr>
        <w:color w:val="000000"/>
      </w:rPr>
    </w:pPr>
  </w:p>
  <w:p w14:paraId="75C4148F" w14:textId="77777777" w:rsidR="006B14A0" w:rsidRDefault="006B14A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BEE"/>
    <w:multiLevelType w:val="hybridMultilevel"/>
    <w:tmpl w:val="5E5A0720"/>
    <w:lvl w:ilvl="0" w:tplc="02BE9C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BB5C69"/>
    <w:multiLevelType w:val="hybridMultilevel"/>
    <w:tmpl w:val="2DDEF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3346B5"/>
    <w:multiLevelType w:val="hybridMultilevel"/>
    <w:tmpl w:val="B7ACB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E51C75"/>
    <w:multiLevelType w:val="hybridMultilevel"/>
    <w:tmpl w:val="0C1C1286"/>
    <w:lvl w:ilvl="0" w:tplc="667641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A7FE0"/>
    <w:multiLevelType w:val="hybridMultilevel"/>
    <w:tmpl w:val="C200EA60"/>
    <w:lvl w:ilvl="0" w:tplc="47CE149A">
      <w:start w:val="1"/>
      <w:numFmt w:val="lowerLetter"/>
      <w:lvlText w:val="(%1)"/>
      <w:lvlJc w:val="left"/>
      <w:pPr>
        <w:ind w:left="1734" w:hanging="360"/>
      </w:pPr>
      <w:rPr>
        <w:rFonts w:hint="default"/>
      </w:rPr>
    </w:lvl>
    <w:lvl w:ilvl="1" w:tplc="04090019" w:tentative="1">
      <w:start w:val="1"/>
      <w:numFmt w:val="lowerLetter"/>
      <w:lvlText w:val="%2."/>
      <w:lvlJc w:val="left"/>
      <w:pPr>
        <w:ind w:left="2454" w:hanging="360"/>
      </w:pPr>
    </w:lvl>
    <w:lvl w:ilvl="2" w:tplc="0409001B" w:tentative="1">
      <w:start w:val="1"/>
      <w:numFmt w:val="lowerRoman"/>
      <w:lvlText w:val="%3."/>
      <w:lvlJc w:val="right"/>
      <w:pPr>
        <w:ind w:left="3174" w:hanging="180"/>
      </w:pPr>
    </w:lvl>
    <w:lvl w:ilvl="3" w:tplc="0409000F" w:tentative="1">
      <w:start w:val="1"/>
      <w:numFmt w:val="decimal"/>
      <w:lvlText w:val="%4."/>
      <w:lvlJc w:val="left"/>
      <w:pPr>
        <w:ind w:left="3894" w:hanging="360"/>
      </w:pPr>
    </w:lvl>
    <w:lvl w:ilvl="4" w:tplc="04090019" w:tentative="1">
      <w:start w:val="1"/>
      <w:numFmt w:val="lowerLetter"/>
      <w:lvlText w:val="%5."/>
      <w:lvlJc w:val="left"/>
      <w:pPr>
        <w:ind w:left="4614" w:hanging="360"/>
      </w:pPr>
    </w:lvl>
    <w:lvl w:ilvl="5" w:tplc="0409001B" w:tentative="1">
      <w:start w:val="1"/>
      <w:numFmt w:val="lowerRoman"/>
      <w:lvlText w:val="%6."/>
      <w:lvlJc w:val="right"/>
      <w:pPr>
        <w:ind w:left="5334" w:hanging="180"/>
      </w:pPr>
    </w:lvl>
    <w:lvl w:ilvl="6" w:tplc="0409000F" w:tentative="1">
      <w:start w:val="1"/>
      <w:numFmt w:val="decimal"/>
      <w:lvlText w:val="%7."/>
      <w:lvlJc w:val="left"/>
      <w:pPr>
        <w:ind w:left="6054" w:hanging="360"/>
      </w:pPr>
    </w:lvl>
    <w:lvl w:ilvl="7" w:tplc="04090019" w:tentative="1">
      <w:start w:val="1"/>
      <w:numFmt w:val="lowerLetter"/>
      <w:lvlText w:val="%8."/>
      <w:lvlJc w:val="left"/>
      <w:pPr>
        <w:ind w:left="6774" w:hanging="360"/>
      </w:pPr>
    </w:lvl>
    <w:lvl w:ilvl="8" w:tplc="0409001B" w:tentative="1">
      <w:start w:val="1"/>
      <w:numFmt w:val="lowerRoman"/>
      <w:lvlText w:val="%9."/>
      <w:lvlJc w:val="right"/>
      <w:pPr>
        <w:ind w:left="7494" w:hanging="180"/>
      </w:pPr>
    </w:lvl>
  </w:abstractNum>
  <w:abstractNum w:abstractNumId="5" w15:restartNumberingAfterBreak="0">
    <w:nsid w:val="5D9556E6"/>
    <w:multiLevelType w:val="hybridMultilevel"/>
    <w:tmpl w:val="B3F07886"/>
    <w:lvl w:ilvl="0" w:tplc="2C60B0EA">
      <w:start w:val="1"/>
      <w:numFmt w:val="decimal"/>
      <w:pStyle w:val="Reference"/>
      <w:lvlText w:val="[%1]"/>
      <w:lvlJc w:val="left"/>
      <w:pPr>
        <w:tabs>
          <w:tab w:val="num" w:pos="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338213C"/>
    <w:multiLevelType w:val="hybridMultilevel"/>
    <w:tmpl w:val="3A74F884"/>
    <w:lvl w:ilvl="0" w:tplc="2DB4ABA4">
      <w:start w:val="1"/>
      <w:numFmt w:val="lowerLetter"/>
      <w:lvlText w:val="(%1)"/>
      <w:lvlJc w:val="left"/>
      <w:pPr>
        <w:ind w:left="2160" w:hanging="450"/>
      </w:pPr>
      <w:rPr>
        <w:rFonts w:hint="default"/>
        <w:sz w:val="18"/>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66E5264"/>
    <w:multiLevelType w:val="multilevel"/>
    <w:tmpl w:val="666E5264"/>
    <w:lvl w:ilvl="0">
      <w:start w:val="1"/>
      <w:numFmt w:val="lowerLetter"/>
      <w:lvlText w:val="(%1)"/>
      <w:lvlJc w:val="left"/>
      <w:pPr>
        <w:ind w:left="2124" w:hanging="360"/>
      </w:pPr>
      <w:rPr>
        <w:rFonts w:hint="default"/>
      </w:rPr>
    </w:lvl>
    <w:lvl w:ilvl="1">
      <w:start w:val="1"/>
      <w:numFmt w:val="lowerLetter"/>
      <w:lvlText w:val="%2."/>
      <w:lvlJc w:val="left"/>
      <w:pPr>
        <w:ind w:left="2844" w:hanging="360"/>
      </w:pPr>
    </w:lvl>
    <w:lvl w:ilvl="2">
      <w:start w:val="1"/>
      <w:numFmt w:val="lowerRoman"/>
      <w:lvlText w:val="%3."/>
      <w:lvlJc w:val="right"/>
      <w:pPr>
        <w:ind w:left="3564" w:hanging="180"/>
      </w:pPr>
    </w:lvl>
    <w:lvl w:ilvl="3">
      <w:start w:val="1"/>
      <w:numFmt w:val="decimal"/>
      <w:lvlText w:val="%4."/>
      <w:lvlJc w:val="left"/>
      <w:pPr>
        <w:ind w:left="4284" w:hanging="360"/>
      </w:pPr>
    </w:lvl>
    <w:lvl w:ilvl="4">
      <w:start w:val="1"/>
      <w:numFmt w:val="lowerLetter"/>
      <w:lvlText w:val="%5."/>
      <w:lvlJc w:val="left"/>
      <w:pPr>
        <w:ind w:left="5004" w:hanging="360"/>
      </w:pPr>
    </w:lvl>
    <w:lvl w:ilvl="5">
      <w:start w:val="1"/>
      <w:numFmt w:val="lowerRoman"/>
      <w:lvlText w:val="%6."/>
      <w:lvlJc w:val="right"/>
      <w:pPr>
        <w:ind w:left="5724" w:hanging="180"/>
      </w:pPr>
    </w:lvl>
    <w:lvl w:ilvl="6">
      <w:start w:val="1"/>
      <w:numFmt w:val="decimal"/>
      <w:lvlText w:val="%7."/>
      <w:lvlJc w:val="left"/>
      <w:pPr>
        <w:ind w:left="6444" w:hanging="360"/>
      </w:pPr>
    </w:lvl>
    <w:lvl w:ilvl="7">
      <w:start w:val="1"/>
      <w:numFmt w:val="lowerLetter"/>
      <w:lvlText w:val="%8."/>
      <w:lvlJc w:val="left"/>
      <w:pPr>
        <w:ind w:left="7164" w:hanging="360"/>
      </w:pPr>
    </w:lvl>
    <w:lvl w:ilvl="8">
      <w:start w:val="1"/>
      <w:numFmt w:val="lowerRoman"/>
      <w:lvlText w:val="%9."/>
      <w:lvlJc w:val="right"/>
      <w:pPr>
        <w:ind w:left="7884" w:hanging="180"/>
      </w:pPr>
    </w:lvl>
  </w:abstractNum>
  <w:abstractNum w:abstractNumId="8" w15:restartNumberingAfterBreak="0">
    <w:nsid w:val="66D7086C"/>
    <w:multiLevelType w:val="hybridMultilevel"/>
    <w:tmpl w:val="7F3EE198"/>
    <w:lvl w:ilvl="0" w:tplc="1D6C2E52">
      <w:start w:val="1"/>
      <w:numFmt w:val="lowerLetter"/>
      <w:lvlText w:val="%1."/>
      <w:lvlJc w:val="left"/>
      <w:pPr>
        <w:ind w:left="720" w:hanging="360"/>
      </w:pPr>
    </w:lvl>
    <w:lvl w:ilvl="1" w:tplc="7E700DFE" w:tentative="1">
      <w:start w:val="1"/>
      <w:numFmt w:val="lowerLetter"/>
      <w:lvlText w:val="%2."/>
      <w:lvlJc w:val="left"/>
      <w:pPr>
        <w:ind w:left="1440" w:hanging="360"/>
      </w:pPr>
    </w:lvl>
    <w:lvl w:ilvl="2" w:tplc="1C08E306" w:tentative="1">
      <w:start w:val="1"/>
      <w:numFmt w:val="lowerRoman"/>
      <w:lvlText w:val="%3."/>
      <w:lvlJc w:val="right"/>
      <w:pPr>
        <w:ind w:left="2160" w:hanging="180"/>
      </w:pPr>
    </w:lvl>
    <w:lvl w:ilvl="3" w:tplc="1266232A" w:tentative="1">
      <w:start w:val="1"/>
      <w:numFmt w:val="decimal"/>
      <w:lvlText w:val="%4."/>
      <w:lvlJc w:val="left"/>
      <w:pPr>
        <w:ind w:left="2880" w:hanging="360"/>
      </w:pPr>
    </w:lvl>
    <w:lvl w:ilvl="4" w:tplc="7A32697C" w:tentative="1">
      <w:start w:val="1"/>
      <w:numFmt w:val="lowerLetter"/>
      <w:lvlText w:val="%5."/>
      <w:lvlJc w:val="left"/>
      <w:pPr>
        <w:ind w:left="3600" w:hanging="360"/>
      </w:pPr>
    </w:lvl>
    <w:lvl w:ilvl="5" w:tplc="4030C7E4" w:tentative="1">
      <w:start w:val="1"/>
      <w:numFmt w:val="lowerRoman"/>
      <w:lvlText w:val="%6."/>
      <w:lvlJc w:val="right"/>
      <w:pPr>
        <w:ind w:left="4320" w:hanging="180"/>
      </w:pPr>
    </w:lvl>
    <w:lvl w:ilvl="6" w:tplc="1A40552E" w:tentative="1">
      <w:start w:val="1"/>
      <w:numFmt w:val="decimal"/>
      <w:lvlText w:val="%7."/>
      <w:lvlJc w:val="left"/>
      <w:pPr>
        <w:ind w:left="5040" w:hanging="360"/>
      </w:pPr>
    </w:lvl>
    <w:lvl w:ilvl="7" w:tplc="1FA2EFFA" w:tentative="1">
      <w:start w:val="1"/>
      <w:numFmt w:val="lowerLetter"/>
      <w:lvlText w:val="%8."/>
      <w:lvlJc w:val="left"/>
      <w:pPr>
        <w:ind w:left="5760" w:hanging="360"/>
      </w:pPr>
    </w:lvl>
    <w:lvl w:ilvl="8" w:tplc="03CADB9A" w:tentative="1">
      <w:start w:val="1"/>
      <w:numFmt w:val="lowerRoman"/>
      <w:lvlText w:val="%9."/>
      <w:lvlJc w:val="right"/>
      <w:pPr>
        <w:ind w:left="6480" w:hanging="180"/>
      </w:pPr>
    </w:lvl>
  </w:abstractNum>
  <w:abstractNum w:abstractNumId="9" w15:restartNumberingAfterBreak="0">
    <w:nsid w:val="70333111"/>
    <w:multiLevelType w:val="hybridMultilevel"/>
    <w:tmpl w:val="27D445D8"/>
    <w:lvl w:ilvl="0" w:tplc="15A6F930">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0" w15:restartNumberingAfterBreak="0">
    <w:nsid w:val="78936753"/>
    <w:multiLevelType w:val="hybridMultilevel"/>
    <w:tmpl w:val="92042586"/>
    <w:lvl w:ilvl="0" w:tplc="484E2F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22282979">
    <w:abstractNumId w:val="1"/>
  </w:num>
  <w:num w:numId="2" w16cid:durableId="1074157864">
    <w:abstractNumId w:val="2"/>
  </w:num>
  <w:num w:numId="3" w16cid:durableId="667561669">
    <w:abstractNumId w:val="5"/>
  </w:num>
  <w:num w:numId="4" w16cid:durableId="208148865">
    <w:abstractNumId w:val="3"/>
  </w:num>
  <w:num w:numId="5" w16cid:durableId="1874423294">
    <w:abstractNumId w:val="4"/>
  </w:num>
  <w:num w:numId="6" w16cid:durableId="1050107040">
    <w:abstractNumId w:val="0"/>
  </w:num>
  <w:num w:numId="7" w16cid:durableId="710804750">
    <w:abstractNumId w:val="10"/>
  </w:num>
  <w:num w:numId="8" w16cid:durableId="551505625">
    <w:abstractNumId w:val="9"/>
  </w:num>
  <w:num w:numId="9" w16cid:durableId="1572539030">
    <w:abstractNumId w:val="6"/>
  </w:num>
  <w:num w:numId="10" w16cid:durableId="547835396">
    <w:abstractNumId w:val="8"/>
  </w:num>
  <w:num w:numId="11" w16cid:durableId="16112820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4A0"/>
    <w:rsid w:val="00017652"/>
    <w:rsid w:val="00032098"/>
    <w:rsid w:val="00042621"/>
    <w:rsid w:val="00050936"/>
    <w:rsid w:val="00057653"/>
    <w:rsid w:val="000619F3"/>
    <w:rsid w:val="00065B59"/>
    <w:rsid w:val="000723B1"/>
    <w:rsid w:val="0007473A"/>
    <w:rsid w:val="00082A40"/>
    <w:rsid w:val="00087471"/>
    <w:rsid w:val="000C698E"/>
    <w:rsid w:val="000D0D2D"/>
    <w:rsid w:val="000D3CFD"/>
    <w:rsid w:val="000E197B"/>
    <w:rsid w:val="000E2D36"/>
    <w:rsid w:val="000F2C99"/>
    <w:rsid w:val="001034EC"/>
    <w:rsid w:val="001104E1"/>
    <w:rsid w:val="00120F8B"/>
    <w:rsid w:val="00121280"/>
    <w:rsid w:val="00124D9F"/>
    <w:rsid w:val="0012607F"/>
    <w:rsid w:val="00163207"/>
    <w:rsid w:val="00171C64"/>
    <w:rsid w:val="001838A2"/>
    <w:rsid w:val="001871EB"/>
    <w:rsid w:val="001907A6"/>
    <w:rsid w:val="001A3260"/>
    <w:rsid w:val="001B10A9"/>
    <w:rsid w:val="001D156E"/>
    <w:rsid w:val="001D4346"/>
    <w:rsid w:val="001E0E70"/>
    <w:rsid w:val="00205B3B"/>
    <w:rsid w:val="00210B7D"/>
    <w:rsid w:val="002202F6"/>
    <w:rsid w:val="00223365"/>
    <w:rsid w:val="00257F75"/>
    <w:rsid w:val="002778C4"/>
    <w:rsid w:val="00290830"/>
    <w:rsid w:val="002B2B67"/>
    <w:rsid w:val="002B7ACC"/>
    <w:rsid w:val="002B7EA6"/>
    <w:rsid w:val="002D2C23"/>
    <w:rsid w:val="002E62D7"/>
    <w:rsid w:val="002F6EC1"/>
    <w:rsid w:val="00300711"/>
    <w:rsid w:val="00335652"/>
    <w:rsid w:val="0033791C"/>
    <w:rsid w:val="0035272D"/>
    <w:rsid w:val="003606E4"/>
    <w:rsid w:val="00364DD4"/>
    <w:rsid w:val="00367CAD"/>
    <w:rsid w:val="00377E9E"/>
    <w:rsid w:val="00397084"/>
    <w:rsid w:val="003B4F75"/>
    <w:rsid w:val="003C015D"/>
    <w:rsid w:val="003D19AF"/>
    <w:rsid w:val="00401207"/>
    <w:rsid w:val="004039E9"/>
    <w:rsid w:val="00422B98"/>
    <w:rsid w:val="004233FB"/>
    <w:rsid w:val="004559E9"/>
    <w:rsid w:val="00471509"/>
    <w:rsid w:val="00485624"/>
    <w:rsid w:val="00495AC3"/>
    <w:rsid w:val="004B72BB"/>
    <w:rsid w:val="004C0FCE"/>
    <w:rsid w:val="004C4731"/>
    <w:rsid w:val="004D0E0B"/>
    <w:rsid w:val="004D7E90"/>
    <w:rsid w:val="004E77A5"/>
    <w:rsid w:val="004F667A"/>
    <w:rsid w:val="004F7E03"/>
    <w:rsid w:val="00503155"/>
    <w:rsid w:val="00520429"/>
    <w:rsid w:val="00541F74"/>
    <w:rsid w:val="00545F47"/>
    <w:rsid w:val="00551AED"/>
    <w:rsid w:val="00577FAF"/>
    <w:rsid w:val="00580BB0"/>
    <w:rsid w:val="0059147C"/>
    <w:rsid w:val="00596A71"/>
    <w:rsid w:val="005A5153"/>
    <w:rsid w:val="005B38ED"/>
    <w:rsid w:val="005B4642"/>
    <w:rsid w:val="005E10B9"/>
    <w:rsid w:val="005F1135"/>
    <w:rsid w:val="0060030D"/>
    <w:rsid w:val="0060411A"/>
    <w:rsid w:val="006135EF"/>
    <w:rsid w:val="00624A01"/>
    <w:rsid w:val="006313B4"/>
    <w:rsid w:val="00632C0F"/>
    <w:rsid w:val="00635B1D"/>
    <w:rsid w:val="0064068F"/>
    <w:rsid w:val="00643353"/>
    <w:rsid w:val="006563E6"/>
    <w:rsid w:val="00693089"/>
    <w:rsid w:val="006A1C24"/>
    <w:rsid w:val="006B14A0"/>
    <w:rsid w:val="006E39B9"/>
    <w:rsid w:val="007055D0"/>
    <w:rsid w:val="00705ECD"/>
    <w:rsid w:val="00706655"/>
    <w:rsid w:val="00711D2A"/>
    <w:rsid w:val="0072007E"/>
    <w:rsid w:val="0072278A"/>
    <w:rsid w:val="00735280"/>
    <w:rsid w:val="007364A4"/>
    <w:rsid w:val="00746746"/>
    <w:rsid w:val="0075199B"/>
    <w:rsid w:val="00780B9E"/>
    <w:rsid w:val="007913F8"/>
    <w:rsid w:val="007A25CE"/>
    <w:rsid w:val="007C0464"/>
    <w:rsid w:val="007C54ED"/>
    <w:rsid w:val="007D6FE2"/>
    <w:rsid w:val="007D764E"/>
    <w:rsid w:val="007E4F93"/>
    <w:rsid w:val="00805845"/>
    <w:rsid w:val="008248E9"/>
    <w:rsid w:val="0082572D"/>
    <w:rsid w:val="00831020"/>
    <w:rsid w:val="0083700B"/>
    <w:rsid w:val="00840347"/>
    <w:rsid w:val="0084417F"/>
    <w:rsid w:val="00893B00"/>
    <w:rsid w:val="008A0B0F"/>
    <w:rsid w:val="008A6F44"/>
    <w:rsid w:val="008B4ADA"/>
    <w:rsid w:val="008D53CD"/>
    <w:rsid w:val="008D56C5"/>
    <w:rsid w:val="008D5BC9"/>
    <w:rsid w:val="008D6DD2"/>
    <w:rsid w:val="008F5297"/>
    <w:rsid w:val="00900D4E"/>
    <w:rsid w:val="009020BD"/>
    <w:rsid w:val="00904D60"/>
    <w:rsid w:val="0091031B"/>
    <w:rsid w:val="009306EB"/>
    <w:rsid w:val="009438C8"/>
    <w:rsid w:val="0095408F"/>
    <w:rsid w:val="00956EFC"/>
    <w:rsid w:val="009612B8"/>
    <w:rsid w:val="009708B7"/>
    <w:rsid w:val="00983EBD"/>
    <w:rsid w:val="009A032D"/>
    <w:rsid w:val="009D6595"/>
    <w:rsid w:val="009F0D61"/>
    <w:rsid w:val="009F1DE8"/>
    <w:rsid w:val="00A0176F"/>
    <w:rsid w:val="00A04ABE"/>
    <w:rsid w:val="00A11512"/>
    <w:rsid w:val="00A22702"/>
    <w:rsid w:val="00A337A1"/>
    <w:rsid w:val="00A52CD0"/>
    <w:rsid w:val="00A53B46"/>
    <w:rsid w:val="00A603FC"/>
    <w:rsid w:val="00A6045C"/>
    <w:rsid w:val="00A61A59"/>
    <w:rsid w:val="00A657C1"/>
    <w:rsid w:val="00A67479"/>
    <w:rsid w:val="00A674F9"/>
    <w:rsid w:val="00A82801"/>
    <w:rsid w:val="00AB3746"/>
    <w:rsid w:val="00AB5CAE"/>
    <w:rsid w:val="00AC3712"/>
    <w:rsid w:val="00AD6D41"/>
    <w:rsid w:val="00AE3077"/>
    <w:rsid w:val="00B21F69"/>
    <w:rsid w:val="00B23DAA"/>
    <w:rsid w:val="00B26E56"/>
    <w:rsid w:val="00B46042"/>
    <w:rsid w:val="00B573B6"/>
    <w:rsid w:val="00B66377"/>
    <w:rsid w:val="00B86207"/>
    <w:rsid w:val="00BA25D0"/>
    <w:rsid w:val="00BA4DFB"/>
    <w:rsid w:val="00BA7538"/>
    <w:rsid w:val="00BB1B30"/>
    <w:rsid w:val="00BB2EF0"/>
    <w:rsid w:val="00BD2FAF"/>
    <w:rsid w:val="00BF0ABB"/>
    <w:rsid w:val="00BF4D7D"/>
    <w:rsid w:val="00C0099E"/>
    <w:rsid w:val="00C04DE5"/>
    <w:rsid w:val="00C07735"/>
    <w:rsid w:val="00C07A82"/>
    <w:rsid w:val="00C07ADB"/>
    <w:rsid w:val="00C07F32"/>
    <w:rsid w:val="00C10379"/>
    <w:rsid w:val="00C47ECD"/>
    <w:rsid w:val="00C57198"/>
    <w:rsid w:val="00C658BE"/>
    <w:rsid w:val="00C66430"/>
    <w:rsid w:val="00C81FF8"/>
    <w:rsid w:val="00C95197"/>
    <w:rsid w:val="00C965F8"/>
    <w:rsid w:val="00CF40B3"/>
    <w:rsid w:val="00CF7C39"/>
    <w:rsid w:val="00D16690"/>
    <w:rsid w:val="00D302EE"/>
    <w:rsid w:val="00D44141"/>
    <w:rsid w:val="00D54DB3"/>
    <w:rsid w:val="00D71A08"/>
    <w:rsid w:val="00D7269E"/>
    <w:rsid w:val="00DA1C78"/>
    <w:rsid w:val="00DB0834"/>
    <w:rsid w:val="00DD0AC8"/>
    <w:rsid w:val="00DF0E7C"/>
    <w:rsid w:val="00DF189E"/>
    <w:rsid w:val="00E1210B"/>
    <w:rsid w:val="00E40D28"/>
    <w:rsid w:val="00E50097"/>
    <w:rsid w:val="00E6536C"/>
    <w:rsid w:val="00E74668"/>
    <w:rsid w:val="00E76ED0"/>
    <w:rsid w:val="00E95FF9"/>
    <w:rsid w:val="00EA2FBC"/>
    <w:rsid w:val="00EA399F"/>
    <w:rsid w:val="00EB01EA"/>
    <w:rsid w:val="00EB7985"/>
    <w:rsid w:val="00EC26C2"/>
    <w:rsid w:val="00EC31D4"/>
    <w:rsid w:val="00EE2CE9"/>
    <w:rsid w:val="00EE35C6"/>
    <w:rsid w:val="00EF2137"/>
    <w:rsid w:val="00EF6A04"/>
    <w:rsid w:val="00F130AC"/>
    <w:rsid w:val="00F1644F"/>
    <w:rsid w:val="00F16592"/>
    <w:rsid w:val="00F25432"/>
    <w:rsid w:val="00F32E55"/>
    <w:rsid w:val="00F37250"/>
    <w:rsid w:val="00F408BF"/>
    <w:rsid w:val="00F44D96"/>
    <w:rsid w:val="00F51081"/>
    <w:rsid w:val="00F52E77"/>
    <w:rsid w:val="00F64466"/>
    <w:rsid w:val="00F8075D"/>
    <w:rsid w:val="00FA38EA"/>
    <w:rsid w:val="00FC0266"/>
    <w:rsid w:val="00FC66B5"/>
    <w:rsid w:val="00FD326B"/>
    <w:rsid w:val="00FD5347"/>
    <w:rsid w:val="00FF70D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8AA7C"/>
  <w15:docId w15:val="{ADEC6598-A09A-4013-910F-7CC352F6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B98"/>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ED7522"/>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sz w:val="22"/>
      <w:szCs w:val="22"/>
    </w:rPr>
  </w:style>
  <w:style w:type="paragraph" w:styleId="Heading6">
    <w:name w:val="heading 6"/>
    <w:basedOn w:val="Normal"/>
    <w:next w:val="Normal"/>
    <w:link w:val="Heading6Char"/>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character" w:customStyle="1" w:styleId="Heading2Char">
    <w:name w:val="Heading 2 Char"/>
    <w:basedOn w:val="DefaultParagraphFont"/>
    <w:link w:val="Heading2"/>
    <w:uiPriority w:val="9"/>
    <w:rsid w:val="00ED7522"/>
    <w:rPr>
      <w:rFonts w:asciiTheme="majorHAnsi" w:eastAsiaTheme="majorEastAsia" w:hAnsiTheme="majorHAnsi" w:cstheme="majorBidi"/>
      <w:b/>
      <w:bCs/>
      <w:i/>
      <w:iCs/>
      <w:sz w:val="28"/>
      <w:szCs w:val="28"/>
    </w:rPr>
  </w:style>
  <w:style w:type="paragraph" w:styleId="Header">
    <w:name w:val="header"/>
    <w:basedOn w:val="Normal"/>
    <w:link w:val="HeaderChar"/>
    <w:uiPriority w:val="99"/>
    <w:unhideWhenUsed/>
    <w:rsid w:val="00ED7522"/>
    <w:pPr>
      <w:tabs>
        <w:tab w:val="center" w:pos="4680"/>
        <w:tab w:val="right" w:pos="9360"/>
      </w:tabs>
    </w:pPr>
  </w:style>
  <w:style w:type="character" w:customStyle="1" w:styleId="HeaderChar">
    <w:name w:val="Header Char"/>
    <w:basedOn w:val="DefaultParagraphFont"/>
    <w:link w:val="Header"/>
    <w:uiPriority w:val="99"/>
    <w:rsid w:val="00ED7522"/>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ED7522"/>
    <w:pPr>
      <w:ind w:left="720"/>
      <w:contextualSpacing/>
    </w:pPr>
  </w:style>
  <w:style w:type="character" w:styleId="Hyperlink">
    <w:name w:val="Hyperlink"/>
    <w:basedOn w:val="DefaultParagraphFont"/>
    <w:uiPriority w:val="99"/>
    <w:unhideWhenUsed/>
    <w:rsid w:val="00ED7522"/>
    <w:rPr>
      <w:color w:val="0563C1" w:themeColor="hyperlink"/>
      <w:u w:val="single"/>
    </w:rPr>
  </w:style>
  <w:style w:type="paragraph" w:customStyle="1" w:styleId="ElsParagraph">
    <w:name w:val="Els_Paragraph"/>
    <w:rsid w:val="00ED7522"/>
    <w:pPr>
      <w:spacing w:after="120" w:line="220" w:lineRule="exact"/>
      <w:ind w:firstLine="230"/>
      <w:jc w:val="both"/>
    </w:pPr>
    <w:rPr>
      <w:sz w:val="19"/>
    </w:rPr>
  </w:style>
  <w:style w:type="paragraph" w:styleId="BodyText">
    <w:name w:val="Body Text"/>
    <w:basedOn w:val="Normal"/>
    <w:link w:val="BodyTextChar"/>
    <w:rsid w:val="00ED7522"/>
    <w:pPr>
      <w:spacing w:after="120" w:line="276" w:lineRule="auto"/>
    </w:pPr>
    <w:rPr>
      <w:rFonts w:ascii="Calibri" w:eastAsia="Calibri" w:hAnsi="Calibri"/>
      <w:sz w:val="22"/>
      <w:szCs w:val="22"/>
    </w:rPr>
  </w:style>
  <w:style w:type="character" w:customStyle="1" w:styleId="BodyTextChar">
    <w:name w:val="Body Text Char"/>
    <w:basedOn w:val="DefaultParagraphFont"/>
    <w:link w:val="BodyText"/>
    <w:rsid w:val="00ED7522"/>
    <w:rPr>
      <w:rFonts w:ascii="Calibri" w:eastAsia="Calibri" w:hAnsi="Calibri" w:cs="Times New Roman"/>
    </w:rPr>
  </w:style>
  <w:style w:type="paragraph" w:customStyle="1" w:styleId="Default">
    <w:name w:val="Default"/>
    <w:basedOn w:val="Normal"/>
    <w:rsid w:val="00ED7522"/>
    <w:pPr>
      <w:spacing w:after="100" w:line="480" w:lineRule="auto"/>
      <w:ind w:left="505" w:hanging="465"/>
      <w:jc w:val="both"/>
    </w:pPr>
    <w:rPr>
      <w:color w:val="000000"/>
      <w:kern w:val="28"/>
      <w:sz w:val="24"/>
      <w:szCs w:val="24"/>
    </w:rPr>
  </w:style>
  <w:style w:type="paragraph" w:styleId="Footer">
    <w:name w:val="footer"/>
    <w:basedOn w:val="Normal"/>
    <w:link w:val="FooterChar"/>
    <w:uiPriority w:val="99"/>
    <w:unhideWhenUsed/>
    <w:rsid w:val="00ED7522"/>
    <w:pPr>
      <w:tabs>
        <w:tab w:val="center" w:pos="4680"/>
        <w:tab w:val="right" w:pos="9360"/>
      </w:tabs>
    </w:pPr>
  </w:style>
  <w:style w:type="character" w:customStyle="1" w:styleId="FooterChar">
    <w:name w:val="Footer Char"/>
    <w:basedOn w:val="DefaultParagraphFont"/>
    <w:link w:val="Footer"/>
    <w:uiPriority w:val="99"/>
    <w:rsid w:val="00ED7522"/>
    <w:rPr>
      <w:rFonts w:ascii="Times New Roman" w:eastAsia="Times New Roman" w:hAnsi="Times New Roman" w:cs="Times New Roman"/>
      <w:sz w:val="20"/>
      <w:szCs w:val="20"/>
    </w:rPr>
  </w:style>
  <w:style w:type="character" w:styleId="LineNumber">
    <w:name w:val="line number"/>
    <w:basedOn w:val="DefaultParagraphFont"/>
    <w:uiPriority w:val="99"/>
    <w:semiHidden/>
    <w:unhideWhenUsed/>
    <w:rsid w:val="005F2840"/>
  </w:style>
  <w:style w:type="character" w:customStyle="1" w:styleId="ListParagraphChar">
    <w:name w:val="List Paragraph Char"/>
    <w:link w:val="ListParagraph"/>
    <w:uiPriority w:val="34"/>
    <w:rsid w:val="00B260AD"/>
    <w:rPr>
      <w:rFonts w:ascii="Times New Roman" w:eastAsia="Times New Roman" w:hAnsi="Times New Roman" w:cs="Times New Roman"/>
      <w:sz w:val="20"/>
      <w:szCs w:val="20"/>
    </w:rPr>
  </w:style>
  <w:style w:type="character" w:customStyle="1" w:styleId="ng-scope">
    <w:name w:val="ng-scope"/>
    <w:rsid w:val="00AE13CF"/>
  </w:style>
  <w:style w:type="character" w:customStyle="1" w:styleId="ng-binding">
    <w:name w:val="ng-binding"/>
    <w:rsid w:val="00AE13CF"/>
  </w:style>
  <w:style w:type="character" w:styleId="Strong">
    <w:name w:val="Strong"/>
    <w:uiPriority w:val="22"/>
    <w:qFormat/>
    <w:rsid w:val="00AE13CF"/>
    <w:rPr>
      <w:b/>
      <w:bCs/>
    </w:rPr>
  </w:style>
  <w:style w:type="paragraph" w:styleId="NormalWeb">
    <w:name w:val="Normal (Web)"/>
    <w:basedOn w:val="Normal"/>
    <w:uiPriority w:val="99"/>
    <w:unhideWhenUsed/>
    <w:rsid w:val="00BD1511"/>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347B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BFD"/>
    <w:rPr>
      <w:rFonts w:ascii="Segoe UI" w:eastAsia="Times New Roman" w:hAnsi="Segoe UI" w:cs="Segoe UI"/>
      <w:sz w:val="18"/>
      <w:szCs w:val="18"/>
    </w:rPr>
  </w:style>
  <w:style w:type="character" w:customStyle="1" w:styleId="hps">
    <w:name w:val="hps"/>
    <w:basedOn w:val="DefaultParagraphFont"/>
    <w:rsid w:val="00347BFD"/>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39"/>
    <w:qFormat/>
    <w:rsid w:val="00110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11D2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C47ECD"/>
    <w:rPr>
      <w:sz w:val="16"/>
      <w:szCs w:val="16"/>
    </w:rPr>
  </w:style>
  <w:style w:type="paragraph" w:styleId="CommentText">
    <w:name w:val="annotation text"/>
    <w:basedOn w:val="Normal"/>
    <w:link w:val="CommentTextChar"/>
    <w:uiPriority w:val="99"/>
    <w:unhideWhenUsed/>
    <w:rsid w:val="00C47ECD"/>
  </w:style>
  <w:style w:type="character" w:customStyle="1" w:styleId="CommentTextChar">
    <w:name w:val="Comment Text Char"/>
    <w:basedOn w:val="DefaultParagraphFont"/>
    <w:link w:val="CommentText"/>
    <w:uiPriority w:val="99"/>
    <w:rsid w:val="00C47ECD"/>
  </w:style>
  <w:style w:type="paragraph" w:styleId="CommentSubject">
    <w:name w:val="annotation subject"/>
    <w:basedOn w:val="CommentText"/>
    <w:next w:val="CommentText"/>
    <w:link w:val="CommentSubjectChar"/>
    <w:uiPriority w:val="99"/>
    <w:semiHidden/>
    <w:unhideWhenUsed/>
    <w:rsid w:val="00C47ECD"/>
    <w:rPr>
      <w:b/>
      <w:bCs/>
    </w:rPr>
  </w:style>
  <w:style w:type="character" w:customStyle="1" w:styleId="CommentSubjectChar">
    <w:name w:val="Comment Subject Char"/>
    <w:basedOn w:val="CommentTextChar"/>
    <w:link w:val="CommentSubject"/>
    <w:uiPriority w:val="99"/>
    <w:semiHidden/>
    <w:rsid w:val="00C47ECD"/>
    <w:rPr>
      <w:b/>
      <w:bCs/>
    </w:rPr>
  </w:style>
  <w:style w:type="character" w:styleId="UnresolvedMention">
    <w:name w:val="Unresolved Mention"/>
    <w:basedOn w:val="DefaultParagraphFont"/>
    <w:uiPriority w:val="99"/>
    <w:semiHidden/>
    <w:unhideWhenUsed/>
    <w:rsid w:val="00746746"/>
    <w:rPr>
      <w:color w:val="605E5C"/>
      <w:shd w:val="clear" w:color="auto" w:fill="E1DFDD"/>
    </w:rPr>
  </w:style>
  <w:style w:type="paragraph" w:customStyle="1" w:styleId="BodytextIndented">
    <w:name w:val="BodytextIndented"/>
    <w:basedOn w:val="Normal"/>
    <w:rsid w:val="00AE3077"/>
    <w:pPr>
      <w:ind w:firstLine="284"/>
      <w:jc w:val="both"/>
    </w:pPr>
    <w:rPr>
      <w:rFonts w:ascii="Times" w:hAnsi="Times"/>
      <w:iCs/>
      <w:color w:val="000000"/>
      <w:sz w:val="22"/>
      <w:szCs w:val="22"/>
      <w14:ligatures w14:val="standardContextual"/>
    </w:rPr>
  </w:style>
  <w:style w:type="paragraph" w:customStyle="1" w:styleId="Reference">
    <w:name w:val="Reference"/>
    <w:rsid w:val="00AE3077"/>
    <w:pPr>
      <w:widowControl w:val="0"/>
      <w:numPr>
        <w:numId w:val="3"/>
      </w:numPr>
      <w:tabs>
        <w:tab w:val="clear" w:pos="0"/>
        <w:tab w:val="num" w:pos="360"/>
        <w:tab w:val="left" w:pos="567"/>
      </w:tabs>
      <w:ind w:left="851" w:hanging="851"/>
      <w:jc w:val="both"/>
    </w:pPr>
    <w:rPr>
      <w:rFonts w:ascii="Times" w:hAnsi="Times"/>
      <w:iCs/>
      <w:noProof/>
      <w:color w:val="000000"/>
      <w:sz w:val="22"/>
      <w:szCs w:val="22"/>
      <w:lang w:val="en-GB"/>
      <w14:ligatures w14:val="standardContextual"/>
    </w:rPr>
  </w:style>
  <w:style w:type="character" w:customStyle="1" w:styleId="Heading1Char">
    <w:name w:val="Heading 1 Char"/>
    <w:basedOn w:val="DefaultParagraphFont"/>
    <w:link w:val="Heading1"/>
    <w:rsid w:val="00171C64"/>
    <w:rPr>
      <w:b/>
      <w:sz w:val="48"/>
      <w:szCs w:val="48"/>
    </w:rPr>
  </w:style>
  <w:style w:type="character" w:customStyle="1" w:styleId="Heading3Char">
    <w:name w:val="Heading 3 Char"/>
    <w:basedOn w:val="DefaultParagraphFont"/>
    <w:link w:val="Heading3"/>
    <w:rsid w:val="00171C64"/>
    <w:rPr>
      <w:b/>
      <w:sz w:val="28"/>
      <w:szCs w:val="28"/>
    </w:rPr>
  </w:style>
  <w:style w:type="character" w:customStyle="1" w:styleId="Heading4Char">
    <w:name w:val="Heading 4 Char"/>
    <w:basedOn w:val="DefaultParagraphFont"/>
    <w:link w:val="Heading4"/>
    <w:rsid w:val="00171C64"/>
    <w:rPr>
      <w:b/>
      <w:sz w:val="24"/>
      <w:szCs w:val="24"/>
    </w:rPr>
  </w:style>
  <w:style w:type="character" w:customStyle="1" w:styleId="Heading5Char">
    <w:name w:val="Heading 5 Char"/>
    <w:basedOn w:val="DefaultParagraphFont"/>
    <w:link w:val="Heading5"/>
    <w:rsid w:val="00171C64"/>
    <w:rPr>
      <w:b/>
      <w:sz w:val="22"/>
      <w:szCs w:val="22"/>
    </w:rPr>
  </w:style>
  <w:style w:type="character" w:customStyle="1" w:styleId="Heading6Char">
    <w:name w:val="Heading 6 Char"/>
    <w:basedOn w:val="DefaultParagraphFont"/>
    <w:link w:val="Heading6"/>
    <w:rsid w:val="00171C64"/>
    <w:rPr>
      <w:b/>
    </w:rPr>
  </w:style>
  <w:style w:type="character" w:customStyle="1" w:styleId="TitleChar">
    <w:name w:val="Title Char"/>
    <w:basedOn w:val="DefaultParagraphFont"/>
    <w:link w:val="Title"/>
    <w:rsid w:val="00171C64"/>
    <w:rPr>
      <w:b/>
      <w:sz w:val="72"/>
      <w:szCs w:val="72"/>
    </w:rPr>
  </w:style>
  <w:style w:type="character" w:customStyle="1" w:styleId="SubtitleChar">
    <w:name w:val="Subtitle Char"/>
    <w:basedOn w:val="DefaultParagraphFont"/>
    <w:link w:val="Subtitle"/>
    <w:rsid w:val="00171C64"/>
    <w:rPr>
      <w:rFonts w:ascii="Georgia" w:eastAsia="Georgia" w:hAnsi="Georgia" w:cs="Georgia"/>
      <w:i/>
      <w:color w:val="666666"/>
      <w:sz w:val="48"/>
      <w:szCs w:val="48"/>
    </w:rPr>
  </w:style>
  <w:style w:type="character" w:customStyle="1" w:styleId="fontstyle01">
    <w:name w:val="fontstyle01"/>
    <w:basedOn w:val="DefaultParagraphFont"/>
    <w:rsid w:val="00171C64"/>
    <w:rPr>
      <w:rFonts w:ascii="Times New Roman" w:hAnsi="Times New Roman" w:cs="Times New Roman" w:hint="default"/>
      <w:b w:val="0"/>
      <w:bCs w:val="0"/>
      <w:i/>
      <w:iCs/>
      <w:color w:val="000000"/>
      <w:sz w:val="20"/>
      <w:szCs w:val="20"/>
    </w:rPr>
  </w:style>
  <w:style w:type="character" w:customStyle="1" w:styleId="fontstyle11">
    <w:name w:val="fontstyle11"/>
    <w:basedOn w:val="DefaultParagraphFont"/>
    <w:rsid w:val="00171C64"/>
    <w:rPr>
      <w:rFonts w:ascii="Times New Roman" w:hAnsi="Times New Roman" w:cs="Times New Roman" w:hint="default"/>
      <w:b w:val="0"/>
      <w:bCs w:val="0"/>
      <w:i/>
      <w:iCs/>
      <w:color w:val="000000"/>
      <w:sz w:val="20"/>
      <w:szCs w:val="20"/>
    </w:rPr>
  </w:style>
  <w:style w:type="character" w:styleId="Emphasis">
    <w:name w:val="Emphasis"/>
    <w:basedOn w:val="DefaultParagraphFont"/>
    <w:uiPriority w:val="20"/>
    <w:qFormat/>
    <w:rsid w:val="00B573B6"/>
    <w:rPr>
      <w:i/>
      <w:iCs/>
    </w:rPr>
  </w:style>
  <w:style w:type="paragraph" w:styleId="Bibliography">
    <w:name w:val="Bibliography"/>
    <w:basedOn w:val="Normal"/>
    <w:next w:val="Normal"/>
    <w:uiPriority w:val="37"/>
    <w:semiHidden/>
    <w:unhideWhenUsed/>
    <w:rsid w:val="00CF40B3"/>
    <w:rPr>
      <w:lang w:eastAsia="en-ID"/>
    </w:rPr>
  </w:style>
  <w:style w:type="character" w:customStyle="1" w:styleId="normaltextrun">
    <w:name w:val="normaltextrun"/>
    <w:basedOn w:val="DefaultParagraphFont"/>
    <w:rsid w:val="002B2B67"/>
  </w:style>
  <w:style w:type="paragraph" w:customStyle="1" w:styleId="FirstParagraph">
    <w:name w:val="First Paragraph"/>
    <w:basedOn w:val="BodyText"/>
    <w:next w:val="BodyText"/>
    <w:qFormat/>
    <w:rsid w:val="00422B98"/>
    <w:pPr>
      <w:spacing w:before="180" w:after="180" w:line="240" w:lineRule="auto"/>
    </w:pPr>
    <w:rPr>
      <w:rFonts w:asciiTheme="minorHAnsi" w:eastAsiaTheme="minorHAnsi" w:hAnsiTheme="minorHAnsi" w:cstheme="minorBidi"/>
      <w:sz w:val="24"/>
      <w:szCs w:val="24"/>
    </w:rPr>
  </w:style>
  <w:style w:type="paragraph" w:customStyle="1" w:styleId="pdq2pgselectionanchorcontainer">
    <w:name w:val="pdq2pg_selectionanchorcontainer"/>
    <w:basedOn w:val="Normal"/>
    <w:rsid w:val="00422B98"/>
    <w:pPr>
      <w:spacing w:before="100" w:beforeAutospacing="1" w:after="100" w:afterAutospacing="1"/>
    </w:pPr>
    <w:rPr>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16304">
      <w:bodyDiv w:val="1"/>
      <w:marLeft w:val="0"/>
      <w:marRight w:val="0"/>
      <w:marTop w:val="0"/>
      <w:marBottom w:val="0"/>
      <w:divBdr>
        <w:top w:val="none" w:sz="0" w:space="0" w:color="auto"/>
        <w:left w:val="none" w:sz="0" w:space="0" w:color="auto"/>
        <w:bottom w:val="none" w:sz="0" w:space="0" w:color="auto"/>
        <w:right w:val="none" w:sz="0" w:space="0" w:color="auto"/>
      </w:divBdr>
    </w:div>
    <w:div w:id="339431305">
      <w:bodyDiv w:val="1"/>
      <w:marLeft w:val="0"/>
      <w:marRight w:val="0"/>
      <w:marTop w:val="0"/>
      <w:marBottom w:val="0"/>
      <w:divBdr>
        <w:top w:val="none" w:sz="0" w:space="0" w:color="auto"/>
        <w:left w:val="none" w:sz="0" w:space="0" w:color="auto"/>
        <w:bottom w:val="none" w:sz="0" w:space="0" w:color="auto"/>
        <w:right w:val="none" w:sz="0" w:space="0" w:color="auto"/>
      </w:divBdr>
    </w:div>
    <w:div w:id="350225580">
      <w:bodyDiv w:val="1"/>
      <w:marLeft w:val="0"/>
      <w:marRight w:val="0"/>
      <w:marTop w:val="0"/>
      <w:marBottom w:val="0"/>
      <w:divBdr>
        <w:top w:val="none" w:sz="0" w:space="0" w:color="auto"/>
        <w:left w:val="none" w:sz="0" w:space="0" w:color="auto"/>
        <w:bottom w:val="none" w:sz="0" w:space="0" w:color="auto"/>
        <w:right w:val="none" w:sz="0" w:space="0" w:color="auto"/>
      </w:divBdr>
      <w:divsChild>
        <w:div w:id="509954212">
          <w:marLeft w:val="0"/>
          <w:marRight w:val="0"/>
          <w:marTop w:val="0"/>
          <w:marBottom w:val="0"/>
          <w:divBdr>
            <w:top w:val="none" w:sz="0" w:space="0" w:color="auto"/>
            <w:left w:val="none" w:sz="0" w:space="0" w:color="auto"/>
            <w:bottom w:val="none" w:sz="0" w:space="0" w:color="auto"/>
            <w:right w:val="none" w:sz="0" w:space="0" w:color="auto"/>
          </w:divBdr>
        </w:div>
        <w:div w:id="1636790511">
          <w:marLeft w:val="0"/>
          <w:marRight w:val="0"/>
          <w:marTop w:val="0"/>
          <w:marBottom w:val="0"/>
          <w:divBdr>
            <w:top w:val="none" w:sz="0" w:space="0" w:color="auto"/>
            <w:left w:val="none" w:sz="0" w:space="0" w:color="auto"/>
            <w:bottom w:val="none" w:sz="0" w:space="0" w:color="auto"/>
            <w:right w:val="none" w:sz="0" w:space="0" w:color="auto"/>
          </w:divBdr>
        </w:div>
        <w:div w:id="931888113">
          <w:marLeft w:val="0"/>
          <w:marRight w:val="0"/>
          <w:marTop w:val="0"/>
          <w:marBottom w:val="0"/>
          <w:divBdr>
            <w:top w:val="none" w:sz="0" w:space="0" w:color="auto"/>
            <w:left w:val="none" w:sz="0" w:space="0" w:color="auto"/>
            <w:bottom w:val="none" w:sz="0" w:space="0" w:color="auto"/>
            <w:right w:val="none" w:sz="0" w:space="0" w:color="auto"/>
          </w:divBdr>
        </w:div>
        <w:div w:id="61102230">
          <w:marLeft w:val="0"/>
          <w:marRight w:val="0"/>
          <w:marTop w:val="0"/>
          <w:marBottom w:val="0"/>
          <w:divBdr>
            <w:top w:val="none" w:sz="0" w:space="0" w:color="auto"/>
            <w:left w:val="none" w:sz="0" w:space="0" w:color="auto"/>
            <w:bottom w:val="none" w:sz="0" w:space="0" w:color="auto"/>
            <w:right w:val="none" w:sz="0" w:space="0" w:color="auto"/>
          </w:divBdr>
        </w:div>
      </w:divsChild>
    </w:div>
    <w:div w:id="406001609">
      <w:bodyDiv w:val="1"/>
      <w:marLeft w:val="0"/>
      <w:marRight w:val="0"/>
      <w:marTop w:val="0"/>
      <w:marBottom w:val="0"/>
      <w:divBdr>
        <w:top w:val="none" w:sz="0" w:space="0" w:color="auto"/>
        <w:left w:val="none" w:sz="0" w:space="0" w:color="auto"/>
        <w:bottom w:val="none" w:sz="0" w:space="0" w:color="auto"/>
        <w:right w:val="none" w:sz="0" w:space="0" w:color="auto"/>
      </w:divBdr>
    </w:div>
    <w:div w:id="459423645">
      <w:bodyDiv w:val="1"/>
      <w:marLeft w:val="0"/>
      <w:marRight w:val="0"/>
      <w:marTop w:val="0"/>
      <w:marBottom w:val="0"/>
      <w:divBdr>
        <w:top w:val="none" w:sz="0" w:space="0" w:color="auto"/>
        <w:left w:val="none" w:sz="0" w:space="0" w:color="auto"/>
        <w:bottom w:val="none" w:sz="0" w:space="0" w:color="auto"/>
        <w:right w:val="none" w:sz="0" w:space="0" w:color="auto"/>
      </w:divBdr>
    </w:div>
    <w:div w:id="498350421">
      <w:bodyDiv w:val="1"/>
      <w:marLeft w:val="0"/>
      <w:marRight w:val="0"/>
      <w:marTop w:val="0"/>
      <w:marBottom w:val="0"/>
      <w:divBdr>
        <w:top w:val="none" w:sz="0" w:space="0" w:color="auto"/>
        <w:left w:val="none" w:sz="0" w:space="0" w:color="auto"/>
        <w:bottom w:val="none" w:sz="0" w:space="0" w:color="auto"/>
        <w:right w:val="none" w:sz="0" w:space="0" w:color="auto"/>
      </w:divBdr>
    </w:div>
    <w:div w:id="504054084">
      <w:bodyDiv w:val="1"/>
      <w:marLeft w:val="0"/>
      <w:marRight w:val="0"/>
      <w:marTop w:val="0"/>
      <w:marBottom w:val="0"/>
      <w:divBdr>
        <w:top w:val="none" w:sz="0" w:space="0" w:color="auto"/>
        <w:left w:val="none" w:sz="0" w:space="0" w:color="auto"/>
        <w:bottom w:val="none" w:sz="0" w:space="0" w:color="auto"/>
        <w:right w:val="none" w:sz="0" w:space="0" w:color="auto"/>
      </w:divBdr>
    </w:div>
    <w:div w:id="626662906">
      <w:bodyDiv w:val="1"/>
      <w:marLeft w:val="0"/>
      <w:marRight w:val="0"/>
      <w:marTop w:val="0"/>
      <w:marBottom w:val="0"/>
      <w:divBdr>
        <w:top w:val="none" w:sz="0" w:space="0" w:color="auto"/>
        <w:left w:val="none" w:sz="0" w:space="0" w:color="auto"/>
        <w:bottom w:val="none" w:sz="0" w:space="0" w:color="auto"/>
        <w:right w:val="none" w:sz="0" w:space="0" w:color="auto"/>
      </w:divBdr>
    </w:div>
    <w:div w:id="850073970">
      <w:bodyDiv w:val="1"/>
      <w:marLeft w:val="0"/>
      <w:marRight w:val="0"/>
      <w:marTop w:val="0"/>
      <w:marBottom w:val="0"/>
      <w:divBdr>
        <w:top w:val="none" w:sz="0" w:space="0" w:color="auto"/>
        <w:left w:val="none" w:sz="0" w:space="0" w:color="auto"/>
        <w:bottom w:val="none" w:sz="0" w:space="0" w:color="auto"/>
        <w:right w:val="none" w:sz="0" w:space="0" w:color="auto"/>
      </w:divBdr>
    </w:div>
    <w:div w:id="901675309">
      <w:bodyDiv w:val="1"/>
      <w:marLeft w:val="0"/>
      <w:marRight w:val="0"/>
      <w:marTop w:val="0"/>
      <w:marBottom w:val="0"/>
      <w:divBdr>
        <w:top w:val="none" w:sz="0" w:space="0" w:color="auto"/>
        <w:left w:val="none" w:sz="0" w:space="0" w:color="auto"/>
        <w:bottom w:val="none" w:sz="0" w:space="0" w:color="auto"/>
        <w:right w:val="none" w:sz="0" w:space="0" w:color="auto"/>
      </w:divBdr>
      <w:divsChild>
        <w:div w:id="615256050">
          <w:marLeft w:val="0"/>
          <w:marRight w:val="0"/>
          <w:marTop w:val="0"/>
          <w:marBottom w:val="0"/>
          <w:divBdr>
            <w:top w:val="none" w:sz="0" w:space="0" w:color="auto"/>
            <w:left w:val="none" w:sz="0" w:space="0" w:color="auto"/>
            <w:bottom w:val="none" w:sz="0" w:space="0" w:color="auto"/>
            <w:right w:val="none" w:sz="0" w:space="0" w:color="auto"/>
          </w:divBdr>
          <w:divsChild>
            <w:div w:id="1198349132">
              <w:marLeft w:val="0"/>
              <w:marRight w:val="0"/>
              <w:marTop w:val="0"/>
              <w:marBottom w:val="0"/>
              <w:divBdr>
                <w:top w:val="none" w:sz="0" w:space="0" w:color="auto"/>
                <w:left w:val="none" w:sz="0" w:space="0" w:color="auto"/>
                <w:bottom w:val="none" w:sz="0" w:space="0" w:color="auto"/>
                <w:right w:val="none" w:sz="0" w:space="0" w:color="auto"/>
              </w:divBdr>
              <w:divsChild>
                <w:div w:id="790704613">
                  <w:marLeft w:val="0"/>
                  <w:marRight w:val="0"/>
                  <w:marTop w:val="0"/>
                  <w:marBottom w:val="0"/>
                  <w:divBdr>
                    <w:top w:val="none" w:sz="0" w:space="0" w:color="auto"/>
                    <w:left w:val="none" w:sz="0" w:space="0" w:color="auto"/>
                    <w:bottom w:val="none" w:sz="0" w:space="0" w:color="auto"/>
                    <w:right w:val="none" w:sz="0" w:space="0" w:color="auto"/>
                  </w:divBdr>
                  <w:divsChild>
                    <w:div w:id="1673334589">
                      <w:marLeft w:val="0"/>
                      <w:marRight w:val="0"/>
                      <w:marTop w:val="0"/>
                      <w:marBottom w:val="0"/>
                      <w:divBdr>
                        <w:top w:val="none" w:sz="0" w:space="0" w:color="auto"/>
                        <w:left w:val="none" w:sz="0" w:space="0" w:color="auto"/>
                        <w:bottom w:val="none" w:sz="0" w:space="0" w:color="auto"/>
                        <w:right w:val="none" w:sz="0" w:space="0" w:color="auto"/>
                      </w:divBdr>
                      <w:divsChild>
                        <w:div w:id="181091058">
                          <w:marLeft w:val="0"/>
                          <w:marRight w:val="0"/>
                          <w:marTop w:val="0"/>
                          <w:marBottom w:val="0"/>
                          <w:divBdr>
                            <w:top w:val="none" w:sz="0" w:space="0" w:color="auto"/>
                            <w:left w:val="none" w:sz="0" w:space="0" w:color="auto"/>
                            <w:bottom w:val="none" w:sz="0" w:space="0" w:color="auto"/>
                            <w:right w:val="none" w:sz="0" w:space="0" w:color="auto"/>
                          </w:divBdr>
                          <w:divsChild>
                            <w:div w:id="1988705358">
                              <w:marLeft w:val="0"/>
                              <w:marRight w:val="0"/>
                              <w:marTop w:val="0"/>
                              <w:marBottom w:val="0"/>
                              <w:divBdr>
                                <w:top w:val="none" w:sz="0" w:space="0" w:color="auto"/>
                                <w:left w:val="none" w:sz="0" w:space="0" w:color="auto"/>
                                <w:bottom w:val="none" w:sz="0" w:space="0" w:color="auto"/>
                                <w:right w:val="none" w:sz="0" w:space="0" w:color="auto"/>
                              </w:divBdr>
                              <w:divsChild>
                                <w:div w:id="512303987">
                                  <w:marLeft w:val="0"/>
                                  <w:marRight w:val="0"/>
                                  <w:marTop w:val="0"/>
                                  <w:marBottom w:val="0"/>
                                  <w:divBdr>
                                    <w:top w:val="none" w:sz="0" w:space="0" w:color="auto"/>
                                    <w:left w:val="none" w:sz="0" w:space="0" w:color="auto"/>
                                    <w:bottom w:val="none" w:sz="0" w:space="0" w:color="auto"/>
                                    <w:right w:val="none" w:sz="0" w:space="0" w:color="auto"/>
                                  </w:divBdr>
                                  <w:divsChild>
                                    <w:div w:id="323776075">
                                      <w:marLeft w:val="0"/>
                                      <w:marRight w:val="0"/>
                                      <w:marTop w:val="0"/>
                                      <w:marBottom w:val="0"/>
                                      <w:divBdr>
                                        <w:top w:val="none" w:sz="0" w:space="0" w:color="auto"/>
                                        <w:left w:val="none" w:sz="0" w:space="0" w:color="auto"/>
                                        <w:bottom w:val="none" w:sz="0" w:space="0" w:color="auto"/>
                                        <w:right w:val="none" w:sz="0" w:space="0" w:color="auto"/>
                                      </w:divBdr>
                                    </w:div>
                                    <w:div w:id="463471537">
                                      <w:marLeft w:val="0"/>
                                      <w:marRight w:val="0"/>
                                      <w:marTop w:val="0"/>
                                      <w:marBottom w:val="0"/>
                                      <w:divBdr>
                                        <w:top w:val="none" w:sz="0" w:space="0" w:color="auto"/>
                                        <w:left w:val="none" w:sz="0" w:space="0" w:color="auto"/>
                                        <w:bottom w:val="none" w:sz="0" w:space="0" w:color="auto"/>
                                        <w:right w:val="none" w:sz="0" w:space="0" w:color="auto"/>
                                      </w:divBdr>
                                      <w:divsChild>
                                        <w:div w:id="1450658495">
                                          <w:marLeft w:val="0"/>
                                          <w:marRight w:val="165"/>
                                          <w:marTop w:val="150"/>
                                          <w:marBottom w:val="0"/>
                                          <w:divBdr>
                                            <w:top w:val="none" w:sz="0" w:space="0" w:color="auto"/>
                                            <w:left w:val="none" w:sz="0" w:space="0" w:color="auto"/>
                                            <w:bottom w:val="none" w:sz="0" w:space="0" w:color="auto"/>
                                            <w:right w:val="none" w:sz="0" w:space="0" w:color="auto"/>
                                          </w:divBdr>
                                          <w:divsChild>
                                            <w:div w:id="1771267885">
                                              <w:marLeft w:val="0"/>
                                              <w:marRight w:val="0"/>
                                              <w:marTop w:val="0"/>
                                              <w:marBottom w:val="0"/>
                                              <w:divBdr>
                                                <w:top w:val="none" w:sz="0" w:space="0" w:color="auto"/>
                                                <w:left w:val="none" w:sz="0" w:space="0" w:color="auto"/>
                                                <w:bottom w:val="none" w:sz="0" w:space="0" w:color="auto"/>
                                                <w:right w:val="none" w:sz="0" w:space="0" w:color="auto"/>
                                              </w:divBdr>
                                              <w:divsChild>
                                                <w:div w:id="140845935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9586064">
      <w:bodyDiv w:val="1"/>
      <w:marLeft w:val="0"/>
      <w:marRight w:val="0"/>
      <w:marTop w:val="0"/>
      <w:marBottom w:val="0"/>
      <w:divBdr>
        <w:top w:val="none" w:sz="0" w:space="0" w:color="auto"/>
        <w:left w:val="none" w:sz="0" w:space="0" w:color="auto"/>
        <w:bottom w:val="none" w:sz="0" w:space="0" w:color="auto"/>
        <w:right w:val="none" w:sz="0" w:space="0" w:color="auto"/>
      </w:divBdr>
      <w:divsChild>
        <w:div w:id="1565411081">
          <w:marLeft w:val="0"/>
          <w:marRight w:val="0"/>
          <w:marTop w:val="0"/>
          <w:marBottom w:val="0"/>
          <w:divBdr>
            <w:top w:val="none" w:sz="0" w:space="0" w:color="auto"/>
            <w:left w:val="none" w:sz="0" w:space="0" w:color="auto"/>
            <w:bottom w:val="none" w:sz="0" w:space="0" w:color="auto"/>
            <w:right w:val="none" w:sz="0" w:space="0" w:color="auto"/>
          </w:divBdr>
          <w:divsChild>
            <w:div w:id="736585611">
              <w:marLeft w:val="0"/>
              <w:marRight w:val="0"/>
              <w:marTop w:val="0"/>
              <w:marBottom w:val="0"/>
              <w:divBdr>
                <w:top w:val="none" w:sz="0" w:space="0" w:color="auto"/>
                <w:left w:val="none" w:sz="0" w:space="0" w:color="auto"/>
                <w:bottom w:val="none" w:sz="0" w:space="0" w:color="auto"/>
                <w:right w:val="none" w:sz="0" w:space="0" w:color="auto"/>
              </w:divBdr>
              <w:divsChild>
                <w:div w:id="619579837">
                  <w:marLeft w:val="0"/>
                  <w:marRight w:val="0"/>
                  <w:marTop w:val="0"/>
                  <w:marBottom w:val="0"/>
                  <w:divBdr>
                    <w:top w:val="none" w:sz="0" w:space="0" w:color="auto"/>
                    <w:left w:val="none" w:sz="0" w:space="0" w:color="auto"/>
                    <w:bottom w:val="none" w:sz="0" w:space="0" w:color="auto"/>
                    <w:right w:val="none" w:sz="0" w:space="0" w:color="auto"/>
                  </w:divBdr>
                  <w:divsChild>
                    <w:div w:id="2032030076">
                      <w:marLeft w:val="0"/>
                      <w:marRight w:val="0"/>
                      <w:marTop w:val="0"/>
                      <w:marBottom w:val="0"/>
                      <w:divBdr>
                        <w:top w:val="none" w:sz="0" w:space="0" w:color="auto"/>
                        <w:left w:val="none" w:sz="0" w:space="0" w:color="auto"/>
                        <w:bottom w:val="none" w:sz="0" w:space="0" w:color="auto"/>
                        <w:right w:val="none" w:sz="0" w:space="0" w:color="auto"/>
                      </w:divBdr>
                      <w:divsChild>
                        <w:div w:id="1317954003">
                          <w:marLeft w:val="0"/>
                          <w:marRight w:val="0"/>
                          <w:marTop w:val="0"/>
                          <w:marBottom w:val="0"/>
                          <w:divBdr>
                            <w:top w:val="none" w:sz="0" w:space="0" w:color="auto"/>
                            <w:left w:val="none" w:sz="0" w:space="0" w:color="auto"/>
                            <w:bottom w:val="none" w:sz="0" w:space="0" w:color="auto"/>
                            <w:right w:val="none" w:sz="0" w:space="0" w:color="auto"/>
                          </w:divBdr>
                          <w:divsChild>
                            <w:div w:id="657150924">
                              <w:marLeft w:val="0"/>
                              <w:marRight w:val="0"/>
                              <w:marTop w:val="0"/>
                              <w:marBottom w:val="0"/>
                              <w:divBdr>
                                <w:top w:val="none" w:sz="0" w:space="0" w:color="auto"/>
                                <w:left w:val="none" w:sz="0" w:space="0" w:color="auto"/>
                                <w:bottom w:val="none" w:sz="0" w:space="0" w:color="auto"/>
                                <w:right w:val="none" w:sz="0" w:space="0" w:color="auto"/>
                              </w:divBdr>
                              <w:divsChild>
                                <w:div w:id="690573882">
                                  <w:marLeft w:val="0"/>
                                  <w:marRight w:val="0"/>
                                  <w:marTop w:val="0"/>
                                  <w:marBottom w:val="0"/>
                                  <w:divBdr>
                                    <w:top w:val="none" w:sz="0" w:space="0" w:color="auto"/>
                                    <w:left w:val="none" w:sz="0" w:space="0" w:color="auto"/>
                                    <w:bottom w:val="none" w:sz="0" w:space="0" w:color="auto"/>
                                    <w:right w:val="none" w:sz="0" w:space="0" w:color="auto"/>
                                  </w:divBdr>
                                  <w:divsChild>
                                    <w:div w:id="989019863">
                                      <w:marLeft w:val="0"/>
                                      <w:marRight w:val="0"/>
                                      <w:marTop w:val="0"/>
                                      <w:marBottom w:val="0"/>
                                      <w:divBdr>
                                        <w:top w:val="none" w:sz="0" w:space="0" w:color="auto"/>
                                        <w:left w:val="none" w:sz="0" w:space="0" w:color="auto"/>
                                        <w:bottom w:val="none" w:sz="0" w:space="0" w:color="auto"/>
                                        <w:right w:val="none" w:sz="0" w:space="0" w:color="auto"/>
                                      </w:divBdr>
                                    </w:div>
                                    <w:div w:id="1926303012">
                                      <w:marLeft w:val="0"/>
                                      <w:marRight w:val="0"/>
                                      <w:marTop w:val="0"/>
                                      <w:marBottom w:val="0"/>
                                      <w:divBdr>
                                        <w:top w:val="none" w:sz="0" w:space="0" w:color="auto"/>
                                        <w:left w:val="none" w:sz="0" w:space="0" w:color="auto"/>
                                        <w:bottom w:val="none" w:sz="0" w:space="0" w:color="auto"/>
                                        <w:right w:val="none" w:sz="0" w:space="0" w:color="auto"/>
                                      </w:divBdr>
                                      <w:divsChild>
                                        <w:div w:id="846402798">
                                          <w:marLeft w:val="0"/>
                                          <w:marRight w:val="165"/>
                                          <w:marTop w:val="150"/>
                                          <w:marBottom w:val="0"/>
                                          <w:divBdr>
                                            <w:top w:val="none" w:sz="0" w:space="0" w:color="auto"/>
                                            <w:left w:val="none" w:sz="0" w:space="0" w:color="auto"/>
                                            <w:bottom w:val="none" w:sz="0" w:space="0" w:color="auto"/>
                                            <w:right w:val="none" w:sz="0" w:space="0" w:color="auto"/>
                                          </w:divBdr>
                                          <w:divsChild>
                                            <w:div w:id="123425846">
                                              <w:marLeft w:val="0"/>
                                              <w:marRight w:val="0"/>
                                              <w:marTop w:val="0"/>
                                              <w:marBottom w:val="0"/>
                                              <w:divBdr>
                                                <w:top w:val="none" w:sz="0" w:space="0" w:color="auto"/>
                                                <w:left w:val="none" w:sz="0" w:space="0" w:color="auto"/>
                                                <w:bottom w:val="none" w:sz="0" w:space="0" w:color="auto"/>
                                                <w:right w:val="none" w:sz="0" w:space="0" w:color="auto"/>
                                              </w:divBdr>
                                              <w:divsChild>
                                                <w:div w:id="151345473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2582872">
          <w:marLeft w:val="0"/>
          <w:marRight w:val="0"/>
          <w:marTop w:val="240"/>
          <w:marBottom w:val="0"/>
          <w:divBdr>
            <w:top w:val="none" w:sz="0" w:space="0" w:color="auto"/>
            <w:left w:val="none" w:sz="0" w:space="0" w:color="auto"/>
            <w:bottom w:val="none" w:sz="0" w:space="0" w:color="auto"/>
            <w:right w:val="none" w:sz="0" w:space="0" w:color="auto"/>
          </w:divBdr>
          <w:divsChild>
            <w:div w:id="1243446228">
              <w:marLeft w:val="210"/>
              <w:marRight w:val="0"/>
              <w:marTop w:val="0"/>
              <w:marBottom w:val="0"/>
              <w:divBdr>
                <w:top w:val="none" w:sz="0" w:space="0" w:color="auto"/>
                <w:left w:val="none" w:sz="0" w:space="0" w:color="auto"/>
                <w:bottom w:val="none" w:sz="0" w:space="0" w:color="auto"/>
                <w:right w:val="none" w:sz="0" w:space="0" w:color="auto"/>
              </w:divBdr>
            </w:div>
          </w:divsChild>
        </w:div>
      </w:divsChild>
    </w:div>
    <w:div w:id="952637568">
      <w:bodyDiv w:val="1"/>
      <w:marLeft w:val="0"/>
      <w:marRight w:val="0"/>
      <w:marTop w:val="0"/>
      <w:marBottom w:val="0"/>
      <w:divBdr>
        <w:top w:val="none" w:sz="0" w:space="0" w:color="auto"/>
        <w:left w:val="none" w:sz="0" w:space="0" w:color="auto"/>
        <w:bottom w:val="none" w:sz="0" w:space="0" w:color="auto"/>
        <w:right w:val="none" w:sz="0" w:space="0" w:color="auto"/>
      </w:divBdr>
    </w:div>
    <w:div w:id="994264322">
      <w:bodyDiv w:val="1"/>
      <w:marLeft w:val="0"/>
      <w:marRight w:val="0"/>
      <w:marTop w:val="0"/>
      <w:marBottom w:val="0"/>
      <w:divBdr>
        <w:top w:val="none" w:sz="0" w:space="0" w:color="auto"/>
        <w:left w:val="none" w:sz="0" w:space="0" w:color="auto"/>
        <w:bottom w:val="none" w:sz="0" w:space="0" w:color="auto"/>
        <w:right w:val="none" w:sz="0" w:space="0" w:color="auto"/>
      </w:divBdr>
    </w:div>
    <w:div w:id="1078402385">
      <w:bodyDiv w:val="1"/>
      <w:marLeft w:val="0"/>
      <w:marRight w:val="0"/>
      <w:marTop w:val="0"/>
      <w:marBottom w:val="0"/>
      <w:divBdr>
        <w:top w:val="none" w:sz="0" w:space="0" w:color="auto"/>
        <w:left w:val="none" w:sz="0" w:space="0" w:color="auto"/>
        <w:bottom w:val="none" w:sz="0" w:space="0" w:color="auto"/>
        <w:right w:val="none" w:sz="0" w:space="0" w:color="auto"/>
      </w:divBdr>
    </w:div>
    <w:div w:id="1101413691">
      <w:bodyDiv w:val="1"/>
      <w:marLeft w:val="0"/>
      <w:marRight w:val="0"/>
      <w:marTop w:val="0"/>
      <w:marBottom w:val="0"/>
      <w:divBdr>
        <w:top w:val="none" w:sz="0" w:space="0" w:color="auto"/>
        <w:left w:val="none" w:sz="0" w:space="0" w:color="auto"/>
        <w:bottom w:val="none" w:sz="0" w:space="0" w:color="auto"/>
        <w:right w:val="none" w:sz="0" w:space="0" w:color="auto"/>
      </w:divBdr>
    </w:div>
    <w:div w:id="1132551465">
      <w:bodyDiv w:val="1"/>
      <w:marLeft w:val="0"/>
      <w:marRight w:val="0"/>
      <w:marTop w:val="0"/>
      <w:marBottom w:val="0"/>
      <w:divBdr>
        <w:top w:val="none" w:sz="0" w:space="0" w:color="auto"/>
        <w:left w:val="none" w:sz="0" w:space="0" w:color="auto"/>
        <w:bottom w:val="none" w:sz="0" w:space="0" w:color="auto"/>
        <w:right w:val="none" w:sz="0" w:space="0" w:color="auto"/>
      </w:divBdr>
    </w:div>
    <w:div w:id="1136146612">
      <w:bodyDiv w:val="1"/>
      <w:marLeft w:val="0"/>
      <w:marRight w:val="0"/>
      <w:marTop w:val="0"/>
      <w:marBottom w:val="0"/>
      <w:divBdr>
        <w:top w:val="none" w:sz="0" w:space="0" w:color="auto"/>
        <w:left w:val="none" w:sz="0" w:space="0" w:color="auto"/>
        <w:bottom w:val="none" w:sz="0" w:space="0" w:color="auto"/>
        <w:right w:val="none" w:sz="0" w:space="0" w:color="auto"/>
      </w:divBdr>
    </w:div>
    <w:div w:id="1148981875">
      <w:bodyDiv w:val="1"/>
      <w:marLeft w:val="0"/>
      <w:marRight w:val="0"/>
      <w:marTop w:val="0"/>
      <w:marBottom w:val="0"/>
      <w:divBdr>
        <w:top w:val="none" w:sz="0" w:space="0" w:color="auto"/>
        <w:left w:val="none" w:sz="0" w:space="0" w:color="auto"/>
        <w:bottom w:val="none" w:sz="0" w:space="0" w:color="auto"/>
        <w:right w:val="none" w:sz="0" w:space="0" w:color="auto"/>
      </w:divBdr>
    </w:div>
    <w:div w:id="1166361801">
      <w:bodyDiv w:val="1"/>
      <w:marLeft w:val="0"/>
      <w:marRight w:val="0"/>
      <w:marTop w:val="0"/>
      <w:marBottom w:val="0"/>
      <w:divBdr>
        <w:top w:val="none" w:sz="0" w:space="0" w:color="auto"/>
        <w:left w:val="none" w:sz="0" w:space="0" w:color="auto"/>
        <w:bottom w:val="none" w:sz="0" w:space="0" w:color="auto"/>
        <w:right w:val="none" w:sz="0" w:space="0" w:color="auto"/>
      </w:divBdr>
      <w:divsChild>
        <w:div w:id="583103548">
          <w:marLeft w:val="0"/>
          <w:marRight w:val="0"/>
          <w:marTop w:val="0"/>
          <w:marBottom w:val="0"/>
          <w:divBdr>
            <w:top w:val="none" w:sz="0" w:space="0" w:color="auto"/>
            <w:left w:val="none" w:sz="0" w:space="0" w:color="auto"/>
            <w:bottom w:val="none" w:sz="0" w:space="0" w:color="auto"/>
            <w:right w:val="none" w:sz="0" w:space="0" w:color="auto"/>
          </w:divBdr>
          <w:divsChild>
            <w:div w:id="1912544549">
              <w:marLeft w:val="0"/>
              <w:marRight w:val="0"/>
              <w:marTop w:val="0"/>
              <w:marBottom w:val="0"/>
              <w:divBdr>
                <w:top w:val="none" w:sz="0" w:space="0" w:color="auto"/>
                <w:left w:val="none" w:sz="0" w:space="0" w:color="auto"/>
                <w:bottom w:val="none" w:sz="0" w:space="0" w:color="auto"/>
                <w:right w:val="none" w:sz="0" w:space="0" w:color="auto"/>
              </w:divBdr>
              <w:divsChild>
                <w:div w:id="839390573">
                  <w:marLeft w:val="0"/>
                  <w:marRight w:val="0"/>
                  <w:marTop w:val="0"/>
                  <w:marBottom w:val="0"/>
                  <w:divBdr>
                    <w:top w:val="none" w:sz="0" w:space="0" w:color="auto"/>
                    <w:left w:val="none" w:sz="0" w:space="0" w:color="auto"/>
                    <w:bottom w:val="none" w:sz="0" w:space="0" w:color="auto"/>
                    <w:right w:val="none" w:sz="0" w:space="0" w:color="auto"/>
                  </w:divBdr>
                  <w:divsChild>
                    <w:div w:id="1160580071">
                      <w:marLeft w:val="0"/>
                      <w:marRight w:val="0"/>
                      <w:marTop w:val="0"/>
                      <w:marBottom w:val="0"/>
                      <w:divBdr>
                        <w:top w:val="none" w:sz="0" w:space="0" w:color="auto"/>
                        <w:left w:val="none" w:sz="0" w:space="0" w:color="auto"/>
                        <w:bottom w:val="none" w:sz="0" w:space="0" w:color="auto"/>
                        <w:right w:val="none" w:sz="0" w:space="0" w:color="auto"/>
                      </w:divBdr>
                      <w:divsChild>
                        <w:div w:id="997660355">
                          <w:marLeft w:val="0"/>
                          <w:marRight w:val="0"/>
                          <w:marTop w:val="0"/>
                          <w:marBottom w:val="0"/>
                          <w:divBdr>
                            <w:top w:val="none" w:sz="0" w:space="0" w:color="auto"/>
                            <w:left w:val="none" w:sz="0" w:space="0" w:color="auto"/>
                            <w:bottom w:val="none" w:sz="0" w:space="0" w:color="auto"/>
                            <w:right w:val="none" w:sz="0" w:space="0" w:color="auto"/>
                          </w:divBdr>
                          <w:divsChild>
                            <w:div w:id="937523930">
                              <w:marLeft w:val="0"/>
                              <w:marRight w:val="0"/>
                              <w:marTop w:val="0"/>
                              <w:marBottom w:val="0"/>
                              <w:divBdr>
                                <w:top w:val="none" w:sz="0" w:space="0" w:color="auto"/>
                                <w:left w:val="none" w:sz="0" w:space="0" w:color="auto"/>
                                <w:bottom w:val="none" w:sz="0" w:space="0" w:color="auto"/>
                                <w:right w:val="none" w:sz="0" w:space="0" w:color="auto"/>
                              </w:divBdr>
                              <w:divsChild>
                                <w:div w:id="346490211">
                                  <w:marLeft w:val="0"/>
                                  <w:marRight w:val="0"/>
                                  <w:marTop w:val="0"/>
                                  <w:marBottom w:val="0"/>
                                  <w:divBdr>
                                    <w:top w:val="none" w:sz="0" w:space="0" w:color="auto"/>
                                    <w:left w:val="none" w:sz="0" w:space="0" w:color="auto"/>
                                    <w:bottom w:val="none" w:sz="0" w:space="0" w:color="auto"/>
                                    <w:right w:val="none" w:sz="0" w:space="0" w:color="auto"/>
                                  </w:divBdr>
                                  <w:divsChild>
                                    <w:div w:id="1488470211">
                                      <w:marLeft w:val="0"/>
                                      <w:marRight w:val="0"/>
                                      <w:marTop w:val="0"/>
                                      <w:marBottom w:val="0"/>
                                      <w:divBdr>
                                        <w:top w:val="none" w:sz="0" w:space="0" w:color="auto"/>
                                        <w:left w:val="none" w:sz="0" w:space="0" w:color="auto"/>
                                        <w:bottom w:val="none" w:sz="0" w:space="0" w:color="auto"/>
                                        <w:right w:val="none" w:sz="0" w:space="0" w:color="auto"/>
                                      </w:divBdr>
                                    </w:div>
                                    <w:div w:id="1724133510">
                                      <w:marLeft w:val="0"/>
                                      <w:marRight w:val="0"/>
                                      <w:marTop w:val="0"/>
                                      <w:marBottom w:val="0"/>
                                      <w:divBdr>
                                        <w:top w:val="none" w:sz="0" w:space="0" w:color="auto"/>
                                        <w:left w:val="none" w:sz="0" w:space="0" w:color="auto"/>
                                        <w:bottom w:val="none" w:sz="0" w:space="0" w:color="auto"/>
                                        <w:right w:val="none" w:sz="0" w:space="0" w:color="auto"/>
                                      </w:divBdr>
                                      <w:divsChild>
                                        <w:div w:id="1061948977">
                                          <w:marLeft w:val="0"/>
                                          <w:marRight w:val="165"/>
                                          <w:marTop w:val="150"/>
                                          <w:marBottom w:val="0"/>
                                          <w:divBdr>
                                            <w:top w:val="none" w:sz="0" w:space="0" w:color="auto"/>
                                            <w:left w:val="none" w:sz="0" w:space="0" w:color="auto"/>
                                            <w:bottom w:val="none" w:sz="0" w:space="0" w:color="auto"/>
                                            <w:right w:val="none" w:sz="0" w:space="0" w:color="auto"/>
                                          </w:divBdr>
                                          <w:divsChild>
                                            <w:div w:id="857891451">
                                              <w:marLeft w:val="0"/>
                                              <w:marRight w:val="0"/>
                                              <w:marTop w:val="0"/>
                                              <w:marBottom w:val="0"/>
                                              <w:divBdr>
                                                <w:top w:val="none" w:sz="0" w:space="0" w:color="auto"/>
                                                <w:left w:val="none" w:sz="0" w:space="0" w:color="auto"/>
                                                <w:bottom w:val="none" w:sz="0" w:space="0" w:color="auto"/>
                                                <w:right w:val="none" w:sz="0" w:space="0" w:color="auto"/>
                                              </w:divBdr>
                                              <w:divsChild>
                                                <w:div w:id="18024401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0827916">
      <w:bodyDiv w:val="1"/>
      <w:marLeft w:val="0"/>
      <w:marRight w:val="0"/>
      <w:marTop w:val="0"/>
      <w:marBottom w:val="0"/>
      <w:divBdr>
        <w:top w:val="none" w:sz="0" w:space="0" w:color="auto"/>
        <w:left w:val="none" w:sz="0" w:space="0" w:color="auto"/>
        <w:bottom w:val="none" w:sz="0" w:space="0" w:color="auto"/>
        <w:right w:val="none" w:sz="0" w:space="0" w:color="auto"/>
      </w:divBdr>
    </w:div>
    <w:div w:id="1186748210">
      <w:bodyDiv w:val="1"/>
      <w:marLeft w:val="0"/>
      <w:marRight w:val="0"/>
      <w:marTop w:val="0"/>
      <w:marBottom w:val="0"/>
      <w:divBdr>
        <w:top w:val="none" w:sz="0" w:space="0" w:color="auto"/>
        <w:left w:val="none" w:sz="0" w:space="0" w:color="auto"/>
        <w:bottom w:val="none" w:sz="0" w:space="0" w:color="auto"/>
        <w:right w:val="none" w:sz="0" w:space="0" w:color="auto"/>
      </w:divBdr>
    </w:div>
    <w:div w:id="1211765910">
      <w:bodyDiv w:val="1"/>
      <w:marLeft w:val="0"/>
      <w:marRight w:val="0"/>
      <w:marTop w:val="0"/>
      <w:marBottom w:val="0"/>
      <w:divBdr>
        <w:top w:val="none" w:sz="0" w:space="0" w:color="auto"/>
        <w:left w:val="none" w:sz="0" w:space="0" w:color="auto"/>
        <w:bottom w:val="none" w:sz="0" w:space="0" w:color="auto"/>
        <w:right w:val="none" w:sz="0" w:space="0" w:color="auto"/>
      </w:divBdr>
    </w:div>
    <w:div w:id="1365400126">
      <w:bodyDiv w:val="1"/>
      <w:marLeft w:val="0"/>
      <w:marRight w:val="0"/>
      <w:marTop w:val="0"/>
      <w:marBottom w:val="0"/>
      <w:divBdr>
        <w:top w:val="none" w:sz="0" w:space="0" w:color="auto"/>
        <w:left w:val="none" w:sz="0" w:space="0" w:color="auto"/>
        <w:bottom w:val="none" w:sz="0" w:space="0" w:color="auto"/>
        <w:right w:val="none" w:sz="0" w:space="0" w:color="auto"/>
      </w:divBdr>
    </w:div>
    <w:div w:id="1387408108">
      <w:bodyDiv w:val="1"/>
      <w:marLeft w:val="0"/>
      <w:marRight w:val="0"/>
      <w:marTop w:val="0"/>
      <w:marBottom w:val="0"/>
      <w:divBdr>
        <w:top w:val="none" w:sz="0" w:space="0" w:color="auto"/>
        <w:left w:val="none" w:sz="0" w:space="0" w:color="auto"/>
        <w:bottom w:val="none" w:sz="0" w:space="0" w:color="auto"/>
        <w:right w:val="none" w:sz="0" w:space="0" w:color="auto"/>
      </w:divBdr>
      <w:divsChild>
        <w:div w:id="1584726619">
          <w:marLeft w:val="0"/>
          <w:marRight w:val="0"/>
          <w:marTop w:val="0"/>
          <w:marBottom w:val="0"/>
          <w:divBdr>
            <w:top w:val="none" w:sz="0" w:space="0" w:color="auto"/>
            <w:left w:val="none" w:sz="0" w:space="0" w:color="auto"/>
            <w:bottom w:val="none" w:sz="0" w:space="0" w:color="auto"/>
            <w:right w:val="none" w:sz="0" w:space="0" w:color="auto"/>
          </w:divBdr>
          <w:divsChild>
            <w:div w:id="274866471">
              <w:marLeft w:val="0"/>
              <w:marRight w:val="0"/>
              <w:marTop w:val="0"/>
              <w:marBottom w:val="0"/>
              <w:divBdr>
                <w:top w:val="none" w:sz="0" w:space="0" w:color="auto"/>
                <w:left w:val="none" w:sz="0" w:space="0" w:color="auto"/>
                <w:bottom w:val="none" w:sz="0" w:space="0" w:color="auto"/>
                <w:right w:val="none" w:sz="0" w:space="0" w:color="auto"/>
              </w:divBdr>
              <w:divsChild>
                <w:div w:id="1922060437">
                  <w:marLeft w:val="0"/>
                  <w:marRight w:val="0"/>
                  <w:marTop w:val="0"/>
                  <w:marBottom w:val="0"/>
                  <w:divBdr>
                    <w:top w:val="none" w:sz="0" w:space="0" w:color="auto"/>
                    <w:left w:val="none" w:sz="0" w:space="0" w:color="auto"/>
                    <w:bottom w:val="none" w:sz="0" w:space="0" w:color="auto"/>
                    <w:right w:val="none" w:sz="0" w:space="0" w:color="auto"/>
                  </w:divBdr>
                  <w:divsChild>
                    <w:div w:id="281308751">
                      <w:marLeft w:val="0"/>
                      <w:marRight w:val="0"/>
                      <w:marTop w:val="0"/>
                      <w:marBottom w:val="0"/>
                      <w:divBdr>
                        <w:top w:val="none" w:sz="0" w:space="0" w:color="auto"/>
                        <w:left w:val="none" w:sz="0" w:space="0" w:color="auto"/>
                        <w:bottom w:val="none" w:sz="0" w:space="0" w:color="auto"/>
                        <w:right w:val="none" w:sz="0" w:space="0" w:color="auto"/>
                      </w:divBdr>
                      <w:divsChild>
                        <w:div w:id="1590888142">
                          <w:marLeft w:val="0"/>
                          <w:marRight w:val="0"/>
                          <w:marTop w:val="0"/>
                          <w:marBottom w:val="0"/>
                          <w:divBdr>
                            <w:top w:val="none" w:sz="0" w:space="0" w:color="auto"/>
                            <w:left w:val="none" w:sz="0" w:space="0" w:color="auto"/>
                            <w:bottom w:val="none" w:sz="0" w:space="0" w:color="auto"/>
                            <w:right w:val="none" w:sz="0" w:space="0" w:color="auto"/>
                          </w:divBdr>
                          <w:divsChild>
                            <w:div w:id="1115254380">
                              <w:marLeft w:val="0"/>
                              <w:marRight w:val="0"/>
                              <w:marTop w:val="0"/>
                              <w:marBottom w:val="0"/>
                              <w:divBdr>
                                <w:top w:val="none" w:sz="0" w:space="0" w:color="auto"/>
                                <w:left w:val="none" w:sz="0" w:space="0" w:color="auto"/>
                                <w:bottom w:val="none" w:sz="0" w:space="0" w:color="auto"/>
                                <w:right w:val="none" w:sz="0" w:space="0" w:color="auto"/>
                              </w:divBdr>
                              <w:divsChild>
                                <w:div w:id="533346676">
                                  <w:marLeft w:val="0"/>
                                  <w:marRight w:val="0"/>
                                  <w:marTop w:val="0"/>
                                  <w:marBottom w:val="0"/>
                                  <w:divBdr>
                                    <w:top w:val="none" w:sz="0" w:space="0" w:color="auto"/>
                                    <w:left w:val="none" w:sz="0" w:space="0" w:color="auto"/>
                                    <w:bottom w:val="none" w:sz="0" w:space="0" w:color="auto"/>
                                    <w:right w:val="none" w:sz="0" w:space="0" w:color="auto"/>
                                  </w:divBdr>
                                  <w:divsChild>
                                    <w:div w:id="2132550555">
                                      <w:marLeft w:val="0"/>
                                      <w:marRight w:val="0"/>
                                      <w:marTop w:val="0"/>
                                      <w:marBottom w:val="0"/>
                                      <w:divBdr>
                                        <w:top w:val="none" w:sz="0" w:space="0" w:color="auto"/>
                                        <w:left w:val="none" w:sz="0" w:space="0" w:color="auto"/>
                                        <w:bottom w:val="none" w:sz="0" w:space="0" w:color="auto"/>
                                        <w:right w:val="none" w:sz="0" w:space="0" w:color="auto"/>
                                      </w:divBdr>
                                    </w:div>
                                    <w:div w:id="494148527">
                                      <w:marLeft w:val="0"/>
                                      <w:marRight w:val="0"/>
                                      <w:marTop w:val="0"/>
                                      <w:marBottom w:val="0"/>
                                      <w:divBdr>
                                        <w:top w:val="none" w:sz="0" w:space="0" w:color="auto"/>
                                        <w:left w:val="none" w:sz="0" w:space="0" w:color="auto"/>
                                        <w:bottom w:val="none" w:sz="0" w:space="0" w:color="auto"/>
                                        <w:right w:val="none" w:sz="0" w:space="0" w:color="auto"/>
                                      </w:divBdr>
                                      <w:divsChild>
                                        <w:div w:id="789906042">
                                          <w:marLeft w:val="0"/>
                                          <w:marRight w:val="165"/>
                                          <w:marTop w:val="150"/>
                                          <w:marBottom w:val="0"/>
                                          <w:divBdr>
                                            <w:top w:val="none" w:sz="0" w:space="0" w:color="auto"/>
                                            <w:left w:val="none" w:sz="0" w:space="0" w:color="auto"/>
                                            <w:bottom w:val="none" w:sz="0" w:space="0" w:color="auto"/>
                                            <w:right w:val="none" w:sz="0" w:space="0" w:color="auto"/>
                                          </w:divBdr>
                                          <w:divsChild>
                                            <w:div w:id="245186986">
                                              <w:marLeft w:val="0"/>
                                              <w:marRight w:val="0"/>
                                              <w:marTop w:val="0"/>
                                              <w:marBottom w:val="0"/>
                                              <w:divBdr>
                                                <w:top w:val="none" w:sz="0" w:space="0" w:color="auto"/>
                                                <w:left w:val="none" w:sz="0" w:space="0" w:color="auto"/>
                                                <w:bottom w:val="none" w:sz="0" w:space="0" w:color="auto"/>
                                                <w:right w:val="none" w:sz="0" w:space="0" w:color="auto"/>
                                              </w:divBdr>
                                              <w:divsChild>
                                                <w:div w:id="209585787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1946209">
      <w:bodyDiv w:val="1"/>
      <w:marLeft w:val="0"/>
      <w:marRight w:val="0"/>
      <w:marTop w:val="0"/>
      <w:marBottom w:val="0"/>
      <w:divBdr>
        <w:top w:val="none" w:sz="0" w:space="0" w:color="auto"/>
        <w:left w:val="none" w:sz="0" w:space="0" w:color="auto"/>
        <w:bottom w:val="none" w:sz="0" w:space="0" w:color="auto"/>
        <w:right w:val="none" w:sz="0" w:space="0" w:color="auto"/>
      </w:divBdr>
    </w:div>
    <w:div w:id="1478300387">
      <w:bodyDiv w:val="1"/>
      <w:marLeft w:val="0"/>
      <w:marRight w:val="0"/>
      <w:marTop w:val="0"/>
      <w:marBottom w:val="0"/>
      <w:divBdr>
        <w:top w:val="none" w:sz="0" w:space="0" w:color="auto"/>
        <w:left w:val="none" w:sz="0" w:space="0" w:color="auto"/>
        <w:bottom w:val="none" w:sz="0" w:space="0" w:color="auto"/>
        <w:right w:val="none" w:sz="0" w:space="0" w:color="auto"/>
      </w:divBdr>
      <w:divsChild>
        <w:div w:id="2099595316">
          <w:marLeft w:val="0"/>
          <w:marRight w:val="0"/>
          <w:marTop w:val="0"/>
          <w:marBottom w:val="0"/>
          <w:divBdr>
            <w:top w:val="none" w:sz="0" w:space="0" w:color="auto"/>
            <w:left w:val="none" w:sz="0" w:space="0" w:color="auto"/>
            <w:bottom w:val="none" w:sz="0" w:space="0" w:color="auto"/>
            <w:right w:val="none" w:sz="0" w:space="0" w:color="auto"/>
          </w:divBdr>
        </w:div>
        <w:div w:id="124201447">
          <w:marLeft w:val="0"/>
          <w:marRight w:val="0"/>
          <w:marTop w:val="0"/>
          <w:marBottom w:val="0"/>
          <w:divBdr>
            <w:top w:val="none" w:sz="0" w:space="0" w:color="auto"/>
            <w:left w:val="none" w:sz="0" w:space="0" w:color="auto"/>
            <w:bottom w:val="none" w:sz="0" w:space="0" w:color="auto"/>
            <w:right w:val="none" w:sz="0" w:space="0" w:color="auto"/>
          </w:divBdr>
        </w:div>
        <w:div w:id="187261329">
          <w:marLeft w:val="0"/>
          <w:marRight w:val="0"/>
          <w:marTop w:val="0"/>
          <w:marBottom w:val="0"/>
          <w:divBdr>
            <w:top w:val="none" w:sz="0" w:space="0" w:color="auto"/>
            <w:left w:val="none" w:sz="0" w:space="0" w:color="auto"/>
            <w:bottom w:val="none" w:sz="0" w:space="0" w:color="auto"/>
            <w:right w:val="none" w:sz="0" w:space="0" w:color="auto"/>
          </w:divBdr>
        </w:div>
        <w:div w:id="296574141">
          <w:marLeft w:val="0"/>
          <w:marRight w:val="0"/>
          <w:marTop w:val="0"/>
          <w:marBottom w:val="0"/>
          <w:divBdr>
            <w:top w:val="none" w:sz="0" w:space="0" w:color="auto"/>
            <w:left w:val="none" w:sz="0" w:space="0" w:color="auto"/>
            <w:bottom w:val="none" w:sz="0" w:space="0" w:color="auto"/>
            <w:right w:val="none" w:sz="0" w:space="0" w:color="auto"/>
          </w:divBdr>
        </w:div>
        <w:div w:id="1577864043">
          <w:marLeft w:val="0"/>
          <w:marRight w:val="0"/>
          <w:marTop w:val="0"/>
          <w:marBottom w:val="0"/>
          <w:divBdr>
            <w:top w:val="none" w:sz="0" w:space="0" w:color="auto"/>
            <w:left w:val="none" w:sz="0" w:space="0" w:color="auto"/>
            <w:bottom w:val="none" w:sz="0" w:space="0" w:color="auto"/>
            <w:right w:val="none" w:sz="0" w:space="0" w:color="auto"/>
          </w:divBdr>
        </w:div>
      </w:divsChild>
    </w:div>
    <w:div w:id="1496649578">
      <w:bodyDiv w:val="1"/>
      <w:marLeft w:val="0"/>
      <w:marRight w:val="0"/>
      <w:marTop w:val="0"/>
      <w:marBottom w:val="0"/>
      <w:divBdr>
        <w:top w:val="none" w:sz="0" w:space="0" w:color="auto"/>
        <w:left w:val="none" w:sz="0" w:space="0" w:color="auto"/>
        <w:bottom w:val="none" w:sz="0" w:space="0" w:color="auto"/>
        <w:right w:val="none" w:sz="0" w:space="0" w:color="auto"/>
      </w:divBdr>
    </w:div>
    <w:div w:id="1632243191">
      <w:bodyDiv w:val="1"/>
      <w:marLeft w:val="0"/>
      <w:marRight w:val="0"/>
      <w:marTop w:val="0"/>
      <w:marBottom w:val="0"/>
      <w:divBdr>
        <w:top w:val="none" w:sz="0" w:space="0" w:color="auto"/>
        <w:left w:val="none" w:sz="0" w:space="0" w:color="auto"/>
        <w:bottom w:val="none" w:sz="0" w:space="0" w:color="auto"/>
        <w:right w:val="none" w:sz="0" w:space="0" w:color="auto"/>
      </w:divBdr>
    </w:div>
    <w:div w:id="1684281059">
      <w:bodyDiv w:val="1"/>
      <w:marLeft w:val="0"/>
      <w:marRight w:val="0"/>
      <w:marTop w:val="0"/>
      <w:marBottom w:val="0"/>
      <w:divBdr>
        <w:top w:val="none" w:sz="0" w:space="0" w:color="auto"/>
        <w:left w:val="none" w:sz="0" w:space="0" w:color="auto"/>
        <w:bottom w:val="none" w:sz="0" w:space="0" w:color="auto"/>
        <w:right w:val="none" w:sz="0" w:space="0" w:color="auto"/>
      </w:divBdr>
    </w:div>
    <w:div w:id="1906185611">
      <w:bodyDiv w:val="1"/>
      <w:marLeft w:val="0"/>
      <w:marRight w:val="0"/>
      <w:marTop w:val="0"/>
      <w:marBottom w:val="0"/>
      <w:divBdr>
        <w:top w:val="none" w:sz="0" w:space="0" w:color="auto"/>
        <w:left w:val="none" w:sz="0" w:space="0" w:color="auto"/>
        <w:bottom w:val="none" w:sz="0" w:space="0" w:color="auto"/>
        <w:right w:val="none" w:sz="0" w:space="0" w:color="auto"/>
      </w:divBdr>
      <w:divsChild>
        <w:div w:id="1842158139">
          <w:marLeft w:val="0"/>
          <w:marRight w:val="0"/>
          <w:marTop w:val="0"/>
          <w:marBottom w:val="0"/>
          <w:divBdr>
            <w:top w:val="none" w:sz="0" w:space="0" w:color="auto"/>
            <w:left w:val="none" w:sz="0" w:space="0" w:color="auto"/>
            <w:bottom w:val="none" w:sz="0" w:space="0" w:color="auto"/>
            <w:right w:val="none" w:sz="0" w:space="0" w:color="auto"/>
          </w:divBdr>
          <w:divsChild>
            <w:div w:id="1644193378">
              <w:marLeft w:val="0"/>
              <w:marRight w:val="0"/>
              <w:marTop w:val="0"/>
              <w:marBottom w:val="0"/>
              <w:divBdr>
                <w:top w:val="none" w:sz="0" w:space="0" w:color="auto"/>
                <w:left w:val="none" w:sz="0" w:space="0" w:color="auto"/>
                <w:bottom w:val="none" w:sz="0" w:space="0" w:color="auto"/>
                <w:right w:val="none" w:sz="0" w:space="0" w:color="auto"/>
              </w:divBdr>
              <w:divsChild>
                <w:div w:id="2020619026">
                  <w:marLeft w:val="0"/>
                  <w:marRight w:val="0"/>
                  <w:marTop w:val="0"/>
                  <w:marBottom w:val="0"/>
                  <w:divBdr>
                    <w:top w:val="none" w:sz="0" w:space="0" w:color="auto"/>
                    <w:left w:val="none" w:sz="0" w:space="0" w:color="auto"/>
                    <w:bottom w:val="none" w:sz="0" w:space="0" w:color="auto"/>
                    <w:right w:val="none" w:sz="0" w:space="0" w:color="auto"/>
                  </w:divBdr>
                  <w:divsChild>
                    <w:div w:id="384911148">
                      <w:marLeft w:val="0"/>
                      <w:marRight w:val="0"/>
                      <w:marTop w:val="0"/>
                      <w:marBottom w:val="0"/>
                      <w:divBdr>
                        <w:top w:val="none" w:sz="0" w:space="0" w:color="auto"/>
                        <w:left w:val="none" w:sz="0" w:space="0" w:color="auto"/>
                        <w:bottom w:val="none" w:sz="0" w:space="0" w:color="auto"/>
                        <w:right w:val="none" w:sz="0" w:space="0" w:color="auto"/>
                      </w:divBdr>
                      <w:divsChild>
                        <w:div w:id="504323529">
                          <w:marLeft w:val="0"/>
                          <w:marRight w:val="0"/>
                          <w:marTop w:val="0"/>
                          <w:marBottom w:val="0"/>
                          <w:divBdr>
                            <w:top w:val="none" w:sz="0" w:space="0" w:color="auto"/>
                            <w:left w:val="none" w:sz="0" w:space="0" w:color="auto"/>
                            <w:bottom w:val="none" w:sz="0" w:space="0" w:color="auto"/>
                            <w:right w:val="none" w:sz="0" w:space="0" w:color="auto"/>
                          </w:divBdr>
                          <w:divsChild>
                            <w:div w:id="2052684252">
                              <w:marLeft w:val="0"/>
                              <w:marRight w:val="0"/>
                              <w:marTop w:val="0"/>
                              <w:marBottom w:val="0"/>
                              <w:divBdr>
                                <w:top w:val="none" w:sz="0" w:space="0" w:color="auto"/>
                                <w:left w:val="none" w:sz="0" w:space="0" w:color="auto"/>
                                <w:bottom w:val="none" w:sz="0" w:space="0" w:color="auto"/>
                                <w:right w:val="none" w:sz="0" w:space="0" w:color="auto"/>
                              </w:divBdr>
                              <w:divsChild>
                                <w:div w:id="850341978">
                                  <w:marLeft w:val="0"/>
                                  <w:marRight w:val="0"/>
                                  <w:marTop w:val="0"/>
                                  <w:marBottom w:val="0"/>
                                  <w:divBdr>
                                    <w:top w:val="none" w:sz="0" w:space="0" w:color="auto"/>
                                    <w:left w:val="none" w:sz="0" w:space="0" w:color="auto"/>
                                    <w:bottom w:val="none" w:sz="0" w:space="0" w:color="auto"/>
                                    <w:right w:val="none" w:sz="0" w:space="0" w:color="auto"/>
                                  </w:divBdr>
                                  <w:divsChild>
                                    <w:div w:id="775057273">
                                      <w:marLeft w:val="0"/>
                                      <w:marRight w:val="0"/>
                                      <w:marTop w:val="0"/>
                                      <w:marBottom w:val="0"/>
                                      <w:divBdr>
                                        <w:top w:val="none" w:sz="0" w:space="0" w:color="auto"/>
                                        <w:left w:val="none" w:sz="0" w:space="0" w:color="auto"/>
                                        <w:bottom w:val="none" w:sz="0" w:space="0" w:color="auto"/>
                                        <w:right w:val="none" w:sz="0" w:space="0" w:color="auto"/>
                                      </w:divBdr>
                                    </w:div>
                                    <w:div w:id="1932471374">
                                      <w:marLeft w:val="0"/>
                                      <w:marRight w:val="0"/>
                                      <w:marTop w:val="0"/>
                                      <w:marBottom w:val="0"/>
                                      <w:divBdr>
                                        <w:top w:val="none" w:sz="0" w:space="0" w:color="auto"/>
                                        <w:left w:val="none" w:sz="0" w:space="0" w:color="auto"/>
                                        <w:bottom w:val="none" w:sz="0" w:space="0" w:color="auto"/>
                                        <w:right w:val="none" w:sz="0" w:space="0" w:color="auto"/>
                                      </w:divBdr>
                                      <w:divsChild>
                                        <w:div w:id="323515830">
                                          <w:marLeft w:val="0"/>
                                          <w:marRight w:val="165"/>
                                          <w:marTop w:val="150"/>
                                          <w:marBottom w:val="0"/>
                                          <w:divBdr>
                                            <w:top w:val="none" w:sz="0" w:space="0" w:color="auto"/>
                                            <w:left w:val="none" w:sz="0" w:space="0" w:color="auto"/>
                                            <w:bottom w:val="none" w:sz="0" w:space="0" w:color="auto"/>
                                            <w:right w:val="none" w:sz="0" w:space="0" w:color="auto"/>
                                          </w:divBdr>
                                          <w:divsChild>
                                            <w:div w:id="813110180">
                                              <w:marLeft w:val="0"/>
                                              <w:marRight w:val="0"/>
                                              <w:marTop w:val="0"/>
                                              <w:marBottom w:val="0"/>
                                              <w:divBdr>
                                                <w:top w:val="none" w:sz="0" w:space="0" w:color="auto"/>
                                                <w:left w:val="none" w:sz="0" w:space="0" w:color="auto"/>
                                                <w:bottom w:val="none" w:sz="0" w:space="0" w:color="auto"/>
                                                <w:right w:val="none" w:sz="0" w:space="0" w:color="auto"/>
                                              </w:divBdr>
                                              <w:divsChild>
                                                <w:div w:id="45896259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5115172">
      <w:bodyDiv w:val="1"/>
      <w:marLeft w:val="0"/>
      <w:marRight w:val="0"/>
      <w:marTop w:val="0"/>
      <w:marBottom w:val="0"/>
      <w:divBdr>
        <w:top w:val="none" w:sz="0" w:space="0" w:color="auto"/>
        <w:left w:val="none" w:sz="0" w:space="0" w:color="auto"/>
        <w:bottom w:val="none" w:sz="0" w:space="0" w:color="auto"/>
        <w:right w:val="none" w:sz="0" w:space="0" w:color="auto"/>
      </w:divBdr>
    </w:div>
    <w:div w:id="2024358818">
      <w:bodyDiv w:val="1"/>
      <w:marLeft w:val="0"/>
      <w:marRight w:val="0"/>
      <w:marTop w:val="0"/>
      <w:marBottom w:val="0"/>
      <w:divBdr>
        <w:top w:val="none" w:sz="0" w:space="0" w:color="auto"/>
        <w:left w:val="none" w:sz="0" w:space="0" w:color="auto"/>
        <w:bottom w:val="none" w:sz="0" w:space="0" w:color="auto"/>
        <w:right w:val="none" w:sz="0" w:space="0" w:color="auto"/>
      </w:divBdr>
    </w:div>
    <w:div w:id="2092313047">
      <w:bodyDiv w:val="1"/>
      <w:marLeft w:val="0"/>
      <w:marRight w:val="0"/>
      <w:marTop w:val="0"/>
      <w:marBottom w:val="0"/>
      <w:divBdr>
        <w:top w:val="none" w:sz="0" w:space="0" w:color="auto"/>
        <w:left w:val="none" w:sz="0" w:space="0" w:color="auto"/>
        <w:bottom w:val="none" w:sz="0" w:space="0" w:color="auto"/>
        <w:right w:val="none" w:sz="0" w:space="0" w:color="auto"/>
      </w:divBdr>
      <w:divsChild>
        <w:div w:id="2108116432">
          <w:marLeft w:val="0"/>
          <w:marRight w:val="0"/>
          <w:marTop w:val="0"/>
          <w:marBottom w:val="0"/>
          <w:divBdr>
            <w:top w:val="none" w:sz="0" w:space="0" w:color="auto"/>
            <w:left w:val="none" w:sz="0" w:space="0" w:color="auto"/>
            <w:bottom w:val="none" w:sz="0" w:space="0" w:color="auto"/>
            <w:right w:val="none" w:sz="0" w:space="0" w:color="auto"/>
          </w:divBdr>
          <w:divsChild>
            <w:div w:id="1369602970">
              <w:marLeft w:val="0"/>
              <w:marRight w:val="0"/>
              <w:marTop w:val="0"/>
              <w:marBottom w:val="0"/>
              <w:divBdr>
                <w:top w:val="none" w:sz="0" w:space="0" w:color="auto"/>
                <w:left w:val="none" w:sz="0" w:space="0" w:color="auto"/>
                <w:bottom w:val="none" w:sz="0" w:space="0" w:color="auto"/>
                <w:right w:val="none" w:sz="0" w:space="0" w:color="auto"/>
              </w:divBdr>
              <w:divsChild>
                <w:div w:id="1311593557">
                  <w:marLeft w:val="0"/>
                  <w:marRight w:val="0"/>
                  <w:marTop w:val="0"/>
                  <w:marBottom w:val="0"/>
                  <w:divBdr>
                    <w:top w:val="none" w:sz="0" w:space="0" w:color="auto"/>
                    <w:left w:val="none" w:sz="0" w:space="0" w:color="auto"/>
                    <w:bottom w:val="none" w:sz="0" w:space="0" w:color="auto"/>
                    <w:right w:val="none" w:sz="0" w:space="0" w:color="auto"/>
                  </w:divBdr>
                  <w:divsChild>
                    <w:div w:id="1039280676">
                      <w:marLeft w:val="0"/>
                      <w:marRight w:val="0"/>
                      <w:marTop w:val="0"/>
                      <w:marBottom w:val="0"/>
                      <w:divBdr>
                        <w:top w:val="none" w:sz="0" w:space="0" w:color="auto"/>
                        <w:left w:val="none" w:sz="0" w:space="0" w:color="auto"/>
                        <w:bottom w:val="none" w:sz="0" w:space="0" w:color="auto"/>
                        <w:right w:val="none" w:sz="0" w:space="0" w:color="auto"/>
                      </w:divBdr>
                      <w:divsChild>
                        <w:div w:id="1631474382">
                          <w:marLeft w:val="0"/>
                          <w:marRight w:val="0"/>
                          <w:marTop w:val="0"/>
                          <w:marBottom w:val="0"/>
                          <w:divBdr>
                            <w:top w:val="none" w:sz="0" w:space="0" w:color="auto"/>
                            <w:left w:val="none" w:sz="0" w:space="0" w:color="auto"/>
                            <w:bottom w:val="none" w:sz="0" w:space="0" w:color="auto"/>
                            <w:right w:val="none" w:sz="0" w:space="0" w:color="auto"/>
                          </w:divBdr>
                          <w:divsChild>
                            <w:div w:id="1988167803">
                              <w:marLeft w:val="0"/>
                              <w:marRight w:val="0"/>
                              <w:marTop w:val="0"/>
                              <w:marBottom w:val="0"/>
                              <w:divBdr>
                                <w:top w:val="none" w:sz="0" w:space="0" w:color="auto"/>
                                <w:left w:val="none" w:sz="0" w:space="0" w:color="auto"/>
                                <w:bottom w:val="none" w:sz="0" w:space="0" w:color="auto"/>
                                <w:right w:val="none" w:sz="0" w:space="0" w:color="auto"/>
                              </w:divBdr>
                              <w:divsChild>
                                <w:div w:id="232396181">
                                  <w:marLeft w:val="0"/>
                                  <w:marRight w:val="0"/>
                                  <w:marTop w:val="0"/>
                                  <w:marBottom w:val="0"/>
                                  <w:divBdr>
                                    <w:top w:val="none" w:sz="0" w:space="0" w:color="auto"/>
                                    <w:left w:val="none" w:sz="0" w:space="0" w:color="auto"/>
                                    <w:bottom w:val="none" w:sz="0" w:space="0" w:color="auto"/>
                                    <w:right w:val="none" w:sz="0" w:space="0" w:color="auto"/>
                                  </w:divBdr>
                                  <w:divsChild>
                                    <w:div w:id="796414455">
                                      <w:marLeft w:val="0"/>
                                      <w:marRight w:val="0"/>
                                      <w:marTop w:val="0"/>
                                      <w:marBottom w:val="0"/>
                                      <w:divBdr>
                                        <w:top w:val="none" w:sz="0" w:space="0" w:color="auto"/>
                                        <w:left w:val="none" w:sz="0" w:space="0" w:color="auto"/>
                                        <w:bottom w:val="none" w:sz="0" w:space="0" w:color="auto"/>
                                        <w:right w:val="none" w:sz="0" w:space="0" w:color="auto"/>
                                      </w:divBdr>
                                    </w:div>
                                    <w:div w:id="10911286">
                                      <w:marLeft w:val="0"/>
                                      <w:marRight w:val="0"/>
                                      <w:marTop w:val="0"/>
                                      <w:marBottom w:val="0"/>
                                      <w:divBdr>
                                        <w:top w:val="none" w:sz="0" w:space="0" w:color="auto"/>
                                        <w:left w:val="none" w:sz="0" w:space="0" w:color="auto"/>
                                        <w:bottom w:val="none" w:sz="0" w:space="0" w:color="auto"/>
                                        <w:right w:val="none" w:sz="0" w:space="0" w:color="auto"/>
                                      </w:divBdr>
                                      <w:divsChild>
                                        <w:div w:id="1890914972">
                                          <w:marLeft w:val="0"/>
                                          <w:marRight w:val="165"/>
                                          <w:marTop w:val="150"/>
                                          <w:marBottom w:val="0"/>
                                          <w:divBdr>
                                            <w:top w:val="none" w:sz="0" w:space="0" w:color="auto"/>
                                            <w:left w:val="none" w:sz="0" w:space="0" w:color="auto"/>
                                            <w:bottom w:val="none" w:sz="0" w:space="0" w:color="auto"/>
                                            <w:right w:val="none" w:sz="0" w:space="0" w:color="auto"/>
                                          </w:divBdr>
                                          <w:divsChild>
                                            <w:div w:id="2048219412">
                                              <w:marLeft w:val="0"/>
                                              <w:marRight w:val="0"/>
                                              <w:marTop w:val="0"/>
                                              <w:marBottom w:val="0"/>
                                              <w:divBdr>
                                                <w:top w:val="none" w:sz="0" w:space="0" w:color="auto"/>
                                                <w:left w:val="none" w:sz="0" w:space="0" w:color="auto"/>
                                                <w:bottom w:val="none" w:sz="0" w:space="0" w:color="auto"/>
                                                <w:right w:val="none" w:sz="0" w:space="0" w:color="auto"/>
                                              </w:divBdr>
                                              <w:divsChild>
                                                <w:div w:id="52745228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7897582">
      <w:bodyDiv w:val="1"/>
      <w:marLeft w:val="0"/>
      <w:marRight w:val="0"/>
      <w:marTop w:val="0"/>
      <w:marBottom w:val="0"/>
      <w:divBdr>
        <w:top w:val="none" w:sz="0" w:space="0" w:color="auto"/>
        <w:left w:val="none" w:sz="0" w:space="0" w:color="auto"/>
        <w:bottom w:val="none" w:sz="0" w:space="0" w:color="auto"/>
        <w:right w:val="none" w:sz="0" w:space="0" w:color="auto"/>
      </w:divBdr>
    </w:div>
    <w:div w:id="2102406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hyperlink" Target="http://journal.uin-alauddin.ac.id/index.php/"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r6xfMV6X6oMk+faA602ePBtpVA==">CgMxLjAyCGguZ2pkZ3hzOAByITFkNERHMXlMeFZhUndoMU42cGpqanZ3V0N0aUFqSFFGdg==</go:docsCustomData>
</go:gDocsCustomXmlDataStorage>
</file>

<file path=customXml/itemProps1.xml><?xml version="1.0" encoding="utf-8"?>
<ds:datastoreItem xmlns:ds="http://schemas.openxmlformats.org/officeDocument/2006/customXml" ds:itemID="{9589E931-9B9F-4E64-AFF0-AA6F32FB0AC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14</Pages>
  <Words>12200</Words>
  <Characters>69546</Characters>
  <Application>Microsoft Office Word</Application>
  <DocSecurity>0</DocSecurity>
  <Lines>579</Lines>
  <Paragraphs>163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Coconut oil was prepared following the method of Momuat et al.(2009). Mature co</vt:lpstr>
      <vt:lpstr>    Determination of Antioxidant Activity</vt:lpstr>
      <vt:lpstr>    Formulation of Coconut Oil with Tamarind Leaf Extract</vt:lpstr>
      <vt:lpstr>    Evaluation of Coconut Oil Quality</vt:lpstr>
      <vt:lpstr>    Shelf-Life Estimation Using the ASLT Arrhenius Model</vt:lpstr>
    </vt:vector>
  </TitlesOfParts>
  <Company/>
  <LinksUpToDate>false</LinksUpToDate>
  <CharactersWithSpaces>81583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Iin Novianty</dc:creator>
  <cp:lastModifiedBy>Rahmy Gans</cp:lastModifiedBy>
  <cp:revision>31</cp:revision>
  <cp:lastPrinted>2024-12-16T03:34:00Z</cp:lastPrinted>
  <dcterms:created xsi:type="dcterms:W3CDTF">2025-06-16T05:42:00Z</dcterms:created>
  <dcterms:modified xsi:type="dcterms:W3CDTF">2026-07-30T12:10:00Z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43d867f8-40fe-3c75-be0a-f522ebe9db49</vt:lpwstr>
  </property>
  <property fmtid="{D5CDD505-2E9C-101B-9397-08002B2CF9AE}" pid="24" name="Mendeley Citation Style_1">
    <vt:lpwstr>http://www.zotero.org/styles/apa</vt:lpwstr>
  </property>
</Properties>
</file>