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38" w:rsidRPr="00C31346" w:rsidRDefault="00AB1251" w:rsidP="00D66D2D">
      <w:pPr>
        <w:pStyle w:val="Title"/>
        <w:sectPr w:rsidR="00BB2A38" w:rsidRPr="00C31346" w:rsidSect="00832F74">
          <w:headerReference w:type="even" r:id="rId8"/>
          <w:headerReference w:type="default" r:id="rId9"/>
          <w:footerReference w:type="even" r:id="rId10"/>
          <w:footerReference w:type="default" r:id="rId11"/>
          <w:footerReference w:type="first" r:id="rId12"/>
          <w:type w:val="continuous"/>
          <w:pgSz w:w="11907" w:h="16839" w:code="9"/>
          <w:pgMar w:top="1418" w:right="1134" w:bottom="1418" w:left="1134" w:header="850" w:footer="850" w:gutter="0"/>
          <w:pgNumType w:start="14"/>
          <w:cols w:space="282"/>
          <w:titlePg/>
          <w:docGrid w:linePitch="360"/>
        </w:sectPr>
      </w:pPr>
      <w:r>
        <w:t xml:space="preserve"> </w:t>
      </w:r>
      <w:r w:rsidR="00C31346">
        <w:t xml:space="preserve">PENENTUAN CADANGAN PREMI DENGAN </w:t>
      </w:r>
      <w:r w:rsidR="00C31346" w:rsidRPr="00D66D2D">
        <w:t>METODE</w:t>
      </w:r>
      <w:r w:rsidR="00C31346">
        <w:t xml:space="preserve"> </w:t>
      </w:r>
      <w:r w:rsidR="00C31346">
        <w:rPr>
          <w:i/>
        </w:rPr>
        <w:t>NEW JERSEY</w:t>
      </w:r>
      <w:r w:rsidR="00C31346">
        <w:t xml:space="preserve"> PADA ASURANSI JIWA DWIGUNA BERJANGKA</w:t>
      </w:r>
    </w:p>
    <w:p w:rsidR="00CD6743" w:rsidRDefault="004965F0" w:rsidP="00CD6743">
      <w:pPr>
        <w:pStyle w:val="Penulis"/>
      </w:pPr>
      <w:r>
        <w:lastRenderedPageBreak/>
        <w:t>Rizqi Oktaviani</w:t>
      </w:r>
      <w:r w:rsidR="00CD6743">
        <w:rPr>
          <w:rStyle w:val="EndnoteReference"/>
        </w:rPr>
        <w:endnoteReference w:id="2"/>
      </w:r>
    </w:p>
    <w:p w:rsidR="00CD6743" w:rsidRDefault="004965F0" w:rsidP="00D66D2D">
      <w:pPr>
        <w:pStyle w:val="Penulis"/>
      </w:pPr>
      <w:r w:rsidRPr="00D66D2D">
        <w:t>Wahidah</w:t>
      </w:r>
      <w:r>
        <w:rPr>
          <w:lang w:val="id-ID"/>
        </w:rPr>
        <w:t xml:space="preserve"> Alwi</w:t>
      </w:r>
      <w:r w:rsidR="00CD6743">
        <w:rPr>
          <w:rStyle w:val="EndnoteReference"/>
        </w:rPr>
        <w:endnoteReference w:id="3"/>
      </w:r>
    </w:p>
    <w:p w:rsidR="00EC0E42" w:rsidRPr="00EC0E42" w:rsidRDefault="004965F0" w:rsidP="00CD6743">
      <w:pPr>
        <w:pStyle w:val="Penulis"/>
        <w:rPr>
          <w:vertAlign w:val="superscript"/>
          <w:lang w:val="id-ID"/>
        </w:rPr>
      </w:pPr>
      <w:r>
        <w:t>Adnan Sauddin</w:t>
      </w:r>
      <w:r>
        <w:rPr>
          <w:rStyle w:val="EndnoteReference"/>
          <w:lang w:val="id-ID"/>
        </w:rPr>
        <w:t xml:space="preserve"> </w:t>
      </w:r>
      <w:r w:rsidR="00EC0E42">
        <w:rPr>
          <w:rStyle w:val="EndnoteReference"/>
          <w:lang w:val="id-ID"/>
        </w:rPr>
        <w:endnoteReference w:id="4"/>
      </w:r>
    </w:p>
    <w:p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rsidR="00E91381" w:rsidRPr="00DF2AA6" w:rsidRDefault="00E91381" w:rsidP="000D096B">
      <w:pPr>
        <w:pStyle w:val="isiAbstrac"/>
        <w:rPr>
          <w:szCs w:val="20"/>
          <w:lang w:val="id-ID"/>
        </w:rPr>
      </w:pPr>
      <w:r w:rsidRPr="00E91381">
        <w:rPr>
          <w:b/>
        </w:rPr>
        <w:lastRenderedPageBreak/>
        <w:t>ABSTRA</w:t>
      </w:r>
      <w:r w:rsidR="00915E5B">
        <w:rPr>
          <w:b/>
        </w:rPr>
        <w:t>C</w:t>
      </w:r>
      <w:r w:rsidR="004965F0">
        <w:rPr>
          <w:b/>
        </w:rPr>
        <w:t>T</w:t>
      </w:r>
      <w:r>
        <w:t xml:space="preserve">, </w:t>
      </w:r>
      <w:r w:rsidR="003216F3">
        <w:t>in t</w:t>
      </w:r>
      <w:r w:rsidR="003F0441">
        <w:t>his article</w:t>
      </w:r>
      <w:r w:rsidR="00922DD6">
        <w:t xml:space="preserve"> discusses about the</w:t>
      </w:r>
      <w:r w:rsidR="000E1D52">
        <w:t xml:space="preserve"> prospective premium reserve modified using </w:t>
      </w:r>
      <w:r w:rsidR="000E1D52">
        <w:rPr>
          <w:i/>
        </w:rPr>
        <w:t xml:space="preserve">New Jersey </w:t>
      </w:r>
      <w:r w:rsidR="000E1D52">
        <w:t xml:space="preserve">method on </w:t>
      </w:r>
      <w:r w:rsidR="000E1D52" w:rsidRPr="000D096B">
        <w:t>endowment</w:t>
      </w:r>
      <w:r w:rsidR="000E1D52">
        <w:t xml:space="preserve"> insurance. </w:t>
      </w:r>
      <w:r w:rsidR="00DA3722">
        <w:t xml:space="preserve">The purpose </w:t>
      </w:r>
      <w:r w:rsidR="00F14DCA">
        <w:t xml:space="preserve">of this article to know how much premium reserve on life insurance company with </w:t>
      </w:r>
      <w:r w:rsidR="00F14DCA" w:rsidRPr="00D66D2D">
        <w:t>using</w:t>
      </w:r>
      <w:r w:rsidR="00F14DCA">
        <w:t xml:space="preserve"> </w:t>
      </w:r>
      <w:r w:rsidR="00F14DCA">
        <w:rPr>
          <w:i/>
        </w:rPr>
        <w:t xml:space="preserve">New Jersey </w:t>
      </w:r>
      <w:r w:rsidR="00F14DCA">
        <w:t xml:space="preserve">method. </w:t>
      </w:r>
      <w:r w:rsidR="00831344">
        <w:rPr>
          <w:szCs w:val="20"/>
        </w:rPr>
        <w:t>The</w:t>
      </w:r>
      <w:r w:rsidR="000E1D52">
        <w:rPr>
          <w:szCs w:val="20"/>
        </w:rPr>
        <w:t xml:space="preserve"> result premium reserve</w:t>
      </w:r>
      <w:r w:rsidR="00831344">
        <w:rPr>
          <w:szCs w:val="20"/>
        </w:rPr>
        <w:t xml:space="preserve"> the end of fifth year </w:t>
      </w:r>
      <w:r w:rsidR="000E1D52">
        <w:rPr>
          <w:szCs w:val="20"/>
        </w:rPr>
        <w:t xml:space="preserve"> </w:t>
      </w:r>
      <w:r w:rsidR="00831344">
        <w:rPr>
          <w:szCs w:val="20"/>
        </w:rPr>
        <w:t xml:space="preserve">using </w:t>
      </w:r>
      <w:r w:rsidR="000E1D52">
        <w:rPr>
          <w:szCs w:val="20"/>
        </w:rPr>
        <w:t xml:space="preserve">on </w:t>
      </w:r>
      <w:r w:rsidR="00831344">
        <w:rPr>
          <w:szCs w:val="20"/>
        </w:rPr>
        <w:t xml:space="preserve">life insurance company </w:t>
      </w:r>
      <w:r w:rsidR="000E1D52">
        <w:rPr>
          <w:szCs w:val="20"/>
        </w:rPr>
        <w:t>for the insured at the age</w:t>
      </w:r>
      <w:r w:rsidR="008E3D17">
        <w:rPr>
          <w:szCs w:val="20"/>
        </w:rPr>
        <w:t xml:space="preserve"> 25,30,35,40, and 45 years</w:t>
      </w:r>
      <w:r w:rsidR="003C75D0">
        <w:rPr>
          <w:szCs w:val="20"/>
        </w:rPr>
        <w:t xml:space="preserve"> sequentially</w:t>
      </w:r>
      <w:r w:rsidR="00831344">
        <w:rPr>
          <w:szCs w:val="20"/>
        </w:rPr>
        <w:t xml:space="preserve"> </w:t>
      </w:r>
      <w:r w:rsidR="008E3D17">
        <w:rPr>
          <w:szCs w:val="20"/>
        </w:rPr>
        <w:t>is</w:t>
      </w:r>
      <w:r w:rsidR="00DF2AA6">
        <w:rPr>
          <w:szCs w:val="20"/>
        </w:rPr>
        <w:t xml:space="preserve"> </w:t>
      </w:r>
      <w:r w:rsidR="00DF2AA6" w:rsidRPr="00DF2AA6">
        <w:rPr>
          <w:rFonts w:eastAsiaTheme="minorEastAsia"/>
          <w:szCs w:val="20"/>
        </w:rPr>
        <w:t>Rp.5.376.856,82,</w:t>
      </w:r>
      <w:r w:rsidR="00DF2AA6">
        <w:rPr>
          <w:rFonts w:eastAsiaTheme="minorEastAsia"/>
          <w:szCs w:val="20"/>
        </w:rPr>
        <w:t xml:space="preserve"> </w:t>
      </w:r>
      <w:r w:rsidR="00DF2AA6" w:rsidRPr="00DF2AA6">
        <w:rPr>
          <w:color w:val="000000"/>
          <w:szCs w:val="20"/>
        </w:rPr>
        <w:t>Rp5.388.103,39,</w:t>
      </w:r>
      <w:r w:rsidR="00DF2AA6">
        <w:rPr>
          <w:color w:val="000000"/>
          <w:szCs w:val="20"/>
        </w:rPr>
        <w:t xml:space="preserve"> </w:t>
      </w:r>
      <w:r w:rsidR="00DF2AA6" w:rsidRPr="00DF2AA6">
        <w:rPr>
          <w:color w:val="000000"/>
          <w:szCs w:val="20"/>
        </w:rPr>
        <w:t>Rp5.410.332,27,</w:t>
      </w:r>
      <w:r w:rsidR="00DF2AA6">
        <w:rPr>
          <w:color w:val="000000"/>
          <w:szCs w:val="20"/>
        </w:rPr>
        <w:t xml:space="preserve"> </w:t>
      </w:r>
      <w:r w:rsidR="008E3D17">
        <w:rPr>
          <w:color w:val="000000"/>
          <w:szCs w:val="20"/>
        </w:rPr>
        <w:t>Rp5.449.476,43, and</w:t>
      </w:r>
      <w:r w:rsidR="00DF2AA6" w:rsidRPr="00DF2AA6">
        <w:rPr>
          <w:color w:val="000000"/>
          <w:szCs w:val="20"/>
        </w:rPr>
        <w:t xml:space="preserve"> Rp5.511.600,89</w:t>
      </w:r>
      <w:r w:rsidR="003C75D0">
        <w:rPr>
          <w:color w:val="000000"/>
          <w:szCs w:val="20"/>
        </w:rPr>
        <w:t xml:space="preserve"> </w:t>
      </w:r>
      <w:r w:rsidR="00596C68">
        <w:rPr>
          <w:color w:val="000000"/>
          <w:szCs w:val="20"/>
        </w:rPr>
        <w:t xml:space="preserve">with conmpensation </w:t>
      </w:r>
      <w:r w:rsidR="00B149A9">
        <w:rPr>
          <w:color w:val="000000"/>
          <w:szCs w:val="20"/>
        </w:rPr>
        <w:t xml:space="preserve">by </w:t>
      </w:r>
      <w:r w:rsidR="00433CE8">
        <w:rPr>
          <w:color w:val="000000"/>
          <w:szCs w:val="20"/>
        </w:rPr>
        <w:t>Rp.10.000.000</w:t>
      </w:r>
      <w:r w:rsidR="00DF2AA6" w:rsidRPr="00DF2AA6">
        <w:rPr>
          <w:color w:val="000000"/>
          <w:szCs w:val="20"/>
        </w:rPr>
        <w:t>.</w:t>
      </w:r>
    </w:p>
    <w:p w:rsidR="00E91381" w:rsidRPr="008E3D17" w:rsidRDefault="008E3D17" w:rsidP="00D66D2D">
      <w:pPr>
        <w:pStyle w:val="KataKunci"/>
        <w:rPr>
          <w:rFonts w:ascii="Georgia" w:hAnsi="Georgia"/>
          <w:lang w:val="en-US"/>
        </w:rPr>
      </w:pPr>
      <w:r>
        <w:rPr>
          <w:b/>
          <w:lang w:val="en-US"/>
        </w:rPr>
        <w:t>Keywords</w:t>
      </w:r>
      <w:r w:rsidR="00E91381">
        <w:t>:</w:t>
      </w:r>
      <w:r>
        <w:t xml:space="preserve"> p</w:t>
      </w:r>
      <w:r>
        <w:rPr>
          <w:lang w:val="en-US"/>
        </w:rPr>
        <w:t>remium</w:t>
      </w:r>
      <w:r>
        <w:t xml:space="preserve">, </w:t>
      </w:r>
      <w:r>
        <w:rPr>
          <w:lang w:val="en-US"/>
        </w:rPr>
        <w:t>premium reserve</w:t>
      </w:r>
      <w:r>
        <w:t>,</w:t>
      </w:r>
      <w:r>
        <w:rPr>
          <w:lang w:val="en-US"/>
        </w:rPr>
        <w:t xml:space="preserve"> endowment insurance, </w:t>
      </w:r>
      <w:r w:rsidR="00DF2AA6" w:rsidRPr="00DF2AA6">
        <w:t xml:space="preserve"> New Jersey</w:t>
      </w:r>
      <w:r>
        <w:rPr>
          <w:lang w:val="en-US"/>
        </w:rPr>
        <w:t xml:space="preserve"> method</w:t>
      </w:r>
    </w:p>
    <w:p w:rsidR="00B23589" w:rsidRPr="008A19BD" w:rsidRDefault="00B23589" w:rsidP="00D66D2D">
      <w:pPr>
        <w:pStyle w:val="Heading1"/>
      </w:pPr>
      <w:r w:rsidRPr="00D66D2D">
        <w:t>PENDAHULUAN</w:t>
      </w:r>
    </w:p>
    <w:p w:rsidR="00A47E83" w:rsidRPr="008A19BD" w:rsidRDefault="00C07453" w:rsidP="00D16DA8">
      <w:r w:rsidRPr="008A19BD">
        <w:t>Kehidupan manusia dimasa yang akan datang tidak dapat diramalkan meskipun dengan menggunakan alat analisis. Demikian halnya yang dapat terjadi pada perusahaan maupun individu. Risiko di masa yang akan datang dapat terjadi secara tidak terduga terhadap ke</w:t>
      </w:r>
      <w:r w:rsidR="003F61BE">
        <w:t xml:space="preserve">hidupan seseorang, misalnya </w:t>
      </w:r>
      <w:r w:rsidRPr="008A19BD">
        <w:t xml:space="preserve">: kematian, sakit, atau </w:t>
      </w:r>
      <w:r w:rsidR="003F61BE">
        <w:t>risiko dipecat dari pekerjaan</w:t>
      </w:r>
      <w:r w:rsidRPr="008A19BD">
        <w:t>. Untuk mengurangi risiko maka diperlukan</w:t>
      </w:r>
      <w:r w:rsidR="003F61BE">
        <w:t xml:space="preserve"> lembag</w:t>
      </w:r>
      <w:r w:rsidR="00DC2528">
        <w:t>a untuk menanggung</w:t>
      </w:r>
      <w:r w:rsidR="003F61BE">
        <w:t xml:space="preserve"> tingkat resiko dari keadaan-keadaan tersebut, melalui suatu cara yang disebut asuransi (jaminan).</w:t>
      </w:r>
    </w:p>
    <w:p w:rsidR="008A19BD" w:rsidRDefault="00C07453" w:rsidP="00237534">
      <w:r w:rsidRPr="008A19BD">
        <w:t xml:space="preserve">Perusahaan asuransi merupakan salah satu solusi yang dapat membantu masyarakat dalam menangani risiko-risiko yang terjadi di masa yang akan datang. Perusahaan asuransi jiwa adalah perusahaan yang bergerak di bidang perasuransian dengan cara seseorang mengikatkan diri kepada perusahaan untuk mendapatkan perlindungan terhadap jiwa mereka di masa yang akan datang. Asuransi jiwa memiliki tiga jenis produk, yaitu asuransi jiwa seumur hidup, berjangka dan dwiguna. Dari ketiga jenis produk tersebut skripsi ini difokuskan pada asuransi jiwa dwiguna berjangka karena asuransi ini memberikan dua </w:t>
      </w:r>
      <w:r w:rsidRPr="008A19BD">
        <w:lastRenderedPageBreak/>
        <w:t>manfaat sekaligus, dimana perusahaan akan memberikan santunan apabila tertanggung tetap hidup pada akhir jangka polis atau meninggal dalam jangka polis.</w:t>
      </w:r>
    </w:p>
    <w:p w:rsidR="00C07453" w:rsidRPr="008A19BD" w:rsidRDefault="00C07453" w:rsidP="00D16DA8">
      <w:r w:rsidRPr="008A19BD">
        <w:t xml:space="preserve">Peserta asuransi mempunyai kewajiban untuk membayar uang dalam jumlah tertentu yang disebut Premi, kepada perusahaan asuransi. Pada perusahaan asuransi, dana yang dibayarkan pada saat tertanggung (peserta asuransi) meninggal pada suatu waktu tertentu diambil dari cadangan premi. Dengan kata lain cadangan premi merupakan besarnya uang yang ada pada perusahaan dalam jangka pertanggungan. Perhitungan cadangan premi asuransi jiwa dwiguna difokuskan dengan menggunakan metode </w:t>
      </w:r>
      <w:r w:rsidRPr="008A19BD">
        <w:rPr>
          <w:i/>
        </w:rPr>
        <w:t>New Jersey</w:t>
      </w:r>
      <w:r w:rsidRPr="008A19BD">
        <w:t xml:space="preserve">. Perhitungan menggunakan metode </w:t>
      </w:r>
      <w:r w:rsidRPr="008A19BD">
        <w:rPr>
          <w:i/>
        </w:rPr>
        <w:t>New Jersey</w:t>
      </w:r>
      <w:r w:rsidRPr="008A19BD">
        <w:t xml:space="preserve"> merupakan suatu metode yang lebih efektif dan suatu metode yang diciptakan sebagai perbaikan dari metode </w:t>
      </w:r>
      <w:r w:rsidRPr="008A19BD">
        <w:rPr>
          <w:i/>
        </w:rPr>
        <w:t>Illinois</w:t>
      </w:r>
      <w:r w:rsidRPr="008A19BD">
        <w:t>, dimana pembayaran premi yang melebihi 20 kali pembayaran.</w:t>
      </w:r>
    </w:p>
    <w:p w:rsidR="00CD6743" w:rsidRPr="008A19BD" w:rsidRDefault="00CD6743" w:rsidP="00D66D2D">
      <w:pPr>
        <w:pStyle w:val="Heading1"/>
      </w:pPr>
      <w:r w:rsidRPr="008A19BD">
        <w:t>TINJAUAN</w:t>
      </w:r>
      <w:r w:rsidR="00D66D2D">
        <w:t xml:space="preserve"> </w:t>
      </w:r>
      <w:r w:rsidRPr="008A19BD">
        <w:t>PUSTAKA</w:t>
      </w:r>
    </w:p>
    <w:p w:rsidR="00CB1489" w:rsidRPr="008A19BD" w:rsidRDefault="00CB1489" w:rsidP="00D66D2D">
      <w:pPr>
        <w:pStyle w:val="Heading3"/>
      </w:pPr>
      <w:r w:rsidRPr="008A19BD">
        <w:t>JENIS-JENIS ASURANSI JIWA</w:t>
      </w:r>
    </w:p>
    <w:p w:rsidR="00CB1489" w:rsidRPr="008A19BD" w:rsidRDefault="00CB1489" w:rsidP="00D66D2D">
      <w:pPr>
        <w:pStyle w:val="Heading3"/>
      </w:pPr>
      <w:r w:rsidRPr="008A19BD">
        <w:t>Asuransi jiwa berjangka</w:t>
      </w:r>
    </w:p>
    <w:p w:rsidR="008A19BD" w:rsidRPr="008A19BD" w:rsidRDefault="00CB1489" w:rsidP="00D16DA8">
      <w:r w:rsidRPr="008A19BD">
        <w:t>Asuransi jiwa berjangka merupakan suatu bentuk paling sederhana program asuransi, yang memberikan perlindungan asuransi untuk suatu jangka waktu tertentu dan membayarkan manfaat hanya jika tertanggung meninggal dalam jangka tersebut</w:t>
      </w:r>
      <w:r w:rsidR="002A6C64">
        <w:t>[1</w:t>
      </w:r>
      <w:r w:rsidR="00E028C7">
        <w:t>]</w:t>
      </w:r>
      <w:r w:rsidRPr="008A19BD">
        <w:t>.</w:t>
      </w:r>
    </w:p>
    <w:p w:rsidR="00CB1489" w:rsidRPr="008A19BD" w:rsidRDefault="00CB1489" w:rsidP="00D66D2D">
      <w:pPr>
        <w:pStyle w:val="Heading3"/>
      </w:pPr>
      <w:r w:rsidRPr="008A19BD">
        <w:t>Asuransi Jiwa seumur hidup</w:t>
      </w:r>
    </w:p>
    <w:p w:rsidR="00A25229" w:rsidRPr="00D16DA8" w:rsidRDefault="00CB1489" w:rsidP="00A25229">
      <w:pPr>
        <w:tabs>
          <w:tab w:val="left" w:pos="3969"/>
          <w:tab w:val="left" w:pos="7200"/>
        </w:tabs>
        <w:autoSpaceDE w:val="0"/>
        <w:autoSpaceDN w:val="0"/>
        <w:adjustRightInd w:val="0"/>
        <w:spacing w:before="120" w:after="120"/>
      </w:pPr>
      <w:r w:rsidRPr="00D16DA8">
        <w:t xml:space="preserve">Jenis kedua program asuransi jiwa adalah asuransi jiwa seumur hidup (atau dikenal sebagai asuransi “permanen”atau asuransi “nilai tunai”).Sebutan asuransi jiwa seumur hidup dikarenakan adanya perlindungan permanen </w:t>
      </w:r>
      <w:r w:rsidRPr="00D16DA8">
        <w:lastRenderedPageBreak/>
        <w:t>untuk seumur hidup, sejak tanggal penerbitan polis sampai pemilik polis meninggal dunia asalkan premi dibayarkan.Premi asuransi ini ditetapkan pada saat penerbitan polis dan bernilai tetap sepanjang kehidupan</w:t>
      </w:r>
      <w:r w:rsidR="002A6C64" w:rsidRPr="00D16DA8">
        <w:t>[1</w:t>
      </w:r>
      <w:r w:rsidR="00E028C7" w:rsidRPr="00D16DA8">
        <w:t>]</w:t>
      </w:r>
      <w:r w:rsidRPr="00D16DA8">
        <w:t>.</w:t>
      </w:r>
    </w:p>
    <w:p w:rsidR="00CB1489" w:rsidRPr="008A19BD" w:rsidRDefault="00CB1489" w:rsidP="00D66D2D">
      <w:pPr>
        <w:pStyle w:val="Heading3"/>
      </w:pPr>
      <w:r w:rsidRPr="008A19BD">
        <w:t>Asuransi Dwi Guna</w:t>
      </w:r>
    </w:p>
    <w:p w:rsidR="008E3D42" w:rsidRPr="008A19BD" w:rsidRDefault="00CB1489" w:rsidP="00D16DA8">
      <w:r w:rsidRPr="008A19BD">
        <w:t>Selain asuransi jiwa berjangka dan asuransi seumur hidup, perusahaan asuransi jiwa juga menerbitkan polis dwiguna. Polis ini mempunyai karakteristik pertumbuhan nilai tunai yang cepat sehingga polis ini masak pada masa tanggal tertentu. Polis dwiguna memberikan manfaat asuransi dalam dua cara, yaitu sebagai manfaat kematian bagi waris bila tertanggung meninggal dalam jangka polis dan sebagai manfaat kehidupan bagi pemegang polis bila pemegang polis hidup pada akhir jangka pertanggungan, saat itu polis dikatakan masak</w:t>
      </w:r>
      <w:r w:rsidR="002A6C64">
        <w:t>[1</w:t>
      </w:r>
      <w:r w:rsidR="00E028C7">
        <w:t>]</w:t>
      </w:r>
      <w:r w:rsidRPr="008A19BD">
        <w:t>.</w:t>
      </w:r>
    </w:p>
    <w:p w:rsidR="008E3D42" w:rsidRPr="008A19BD" w:rsidRDefault="008E3D42" w:rsidP="00D66D2D">
      <w:pPr>
        <w:pStyle w:val="Heading3"/>
      </w:pPr>
      <w:r w:rsidRPr="008A19BD">
        <w:t>CADANGAN PREMI</w:t>
      </w:r>
    </w:p>
    <w:p w:rsidR="008E3D42" w:rsidRPr="008A19BD" w:rsidRDefault="00A25229" w:rsidP="00D16DA8">
      <w:r>
        <w:t>Di Indonesia</w:t>
      </w:r>
      <w:r w:rsidR="003216F3">
        <w:t>, pada</w:t>
      </w:r>
      <w:r w:rsidR="008E3D42" w:rsidRPr="008A19BD">
        <w:t xml:space="preserve"> pasal 14 ayat (1) PP No. 73 tahun 1992 tentang penyelenggaraan asuransi harus membentuk cadangan teknis asuransi yang diselenggarakan, cadangan teknis pada asuransi jiwa salah satunya adalah cadangan premi. Cadangan premi adalah besarnya uang yang ada pada perusahaan dalam jangka waktu pertanggungan</w:t>
      </w:r>
      <w:r w:rsidR="002A6C64">
        <w:t>[2</w:t>
      </w:r>
      <w:r w:rsidR="002449DA">
        <w:t>]</w:t>
      </w:r>
      <w:r w:rsidR="008E3D42" w:rsidRPr="008A19BD">
        <w:t>. Metode yang digunakan untuk menghitung cadangan premi adalah sebagai berikut :</w:t>
      </w:r>
    </w:p>
    <w:p w:rsidR="008E3D42" w:rsidRPr="008A19BD" w:rsidRDefault="008E3D42" w:rsidP="00D66D2D">
      <w:pPr>
        <w:pStyle w:val="Heading3"/>
      </w:pPr>
      <w:r w:rsidRPr="008A19BD">
        <w:t xml:space="preserve">Cadangan </w:t>
      </w:r>
      <w:r w:rsidRPr="00D66D2D">
        <w:t>Retrospektif</w:t>
      </w:r>
    </w:p>
    <w:p w:rsidR="008E3D42" w:rsidRPr="008A19BD" w:rsidRDefault="008E3D42" w:rsidP="00D16DA8">
      <w:r w:rsidRPr="008A19BD">
        <w:t>Cadangan Retrospektif adalah perhitungan cadangan dengan berdasarkan jumlah total pendapatan di waktu yang lalu sampai saat dilakukan perhitungan cadangan dikurangi dengan jumlah pengeluaran di waktu yang lampau</w:t>
      </w:r>
      <w:r w:rsidR="002A6C64">
        <w:t>[3</w:t>
      </w:r>
      <w:r w:rsidR="00E86E10">
        <w:t>]</w:t>
      </w:r>
      <w:r w:rsidRPr="008A19BD">
        <w:t>.</w:t>
      </w:r>
    </w:p>
    <w:p w:rsidR="008E3D42" w:rsidRPr="008A19BD" w:rsidRDefault="008E3D42" w:rsidP="00D66D2D">
      <w:pPr>
        <w:pStyle w:val="Heading3"/>
      </w:pPr>
      <w:r w:rsidRPr="008A19BD">
        <w:t xml:space="preserve">Cadangan Prospektif </w:t>
      </w:r>
    </w:p>
    <w:p w:rsidR="008E3D42" w:rsidRPr="008A19BD" w:rsidRDefault="008E3D42" w:rsidP="00D16DA8">
      <w:r w:rsidRPr="008A19BD">
        <w:t>Cadangan Prospektif adalah perhitungan cadangan dengan berdasarkan nilai sekarang dari semua pengeluaran di waktu yang akan datang dikurangi dengan nilai sekarang total pendapatan di waktu yang akan datang untuk tiap pemegang polis</w:t>
      </w:r>
      <w:r w:rsidR="002A6C64">
        <w:t>[3</w:t>
      </w:r>
      <w:r w:rsidR="00E86E10">
        <w:t>]</w:t>
      </w:r>
      <w:r w:rsidRPr="008A19BD">
        <w:t>.</w:t>
      </w:r>
    </w:p>
    <w:p w:rsidR="008E3D42" w:rsidRPr="008A19BD" w:rsidRDefault="008E3D42" w:rsidP="00D66D2D">
      <w:pPr>
        <w:pStyle w:val="Heading3"/>
      </w:pPr>
      <w:r w:rsidRPr="008A19BD">
        <w:lastRenderedPageBreak/>
        <w:t>METODE NEW JERSEY dalam CADANGAN PREMI PROSPEKTIF</w:t>
      </w:r>
    </w:p>
    <w:p w:rsidR="008E3D42" w:rsidRPr="008A19BD" w:rsidRDefault="008E3D42" w:rsidP="00D16DA8">
      <w:r w:rsidRPr="008A19BD">
        <w:t xml:space="preserve">Metode </w:t>
      </w:r>
      <w:r w:rsidRPr="008A19BD">
        <w:rPr>
          <w:i/>
        </w:rPr>
        <w:t xml:space="preserve">New Jersey </w:t>
      </w:r>
      <w:r w:rsidRPr="008A19BD">
        <w:t>merupakan bagian dari perhitungan cadangan prospektif. Nilai cadangan prospektif pada tahun ke</w:t>
      </w:r>
      <w:r w:rsidRPr="008A19BD">
        <w:rPr>
          <w:i/>
        </w:rPr>
        <w:t xml:space="preserve"> t</w:t>
      </w:r>
      <w:r w:rsidRPr="008A19BD">
        <w:t xml:space="preserve"> merupakan nilai cadangan berdasarkan nilai tunai santunan yang akan datang dikurangi dengan nilai tunai premi yang akan datang. Secara matematis rumus cadangan prospektif untuk jenis asuransi jiwa dwiguna </w:t>
      </w:r>
      <w:r w:rsidRPr="008A19BD">
        <w:rPr>
          <w:i/>
        </w:rPr>
        <w:t>n</w:t>
      </w:r>
      <w:r w:rsidRPr="008A19BD">
        <w:t xml:space="preserve"> tahun dengan sebesar 1 satuan untuk seseorang yang berumur </w:t>
      </w:r>
      <w:r w:rsidRPr="008A19BD">
        <w:rPr>
          <w:i/>
        </w:rPr>
        <w:t>x</w:t>
      </w:r>
      <w:r w:rsidRPr="008A19BD">
        <w:t xml:space="preserve"> tahun dapat ditulis sebagai berikut</w:t>
      </w:r>
      <w:r w:rsidR="00352985" w:rsidRPr="008A19BD">
        <w:t>:</w:t>
      </w:r>
    </w:p>
    <w:p w:rsidR="00352985" w:rsidRPr="008A19BD" w:rsidRDefault="00E01235" w:rsidP="00D16DA8">
      <w:pPr>
        <w:rPr>
          <w:rFonts w:eastAsiaTheme="minorEastAsia"/>
        </w:rPr>
      </w:pPr>
      <m:oMath>
        <m:sPre>
          <m:sPrePr>
            <m:ctrlPr>
              <w:rPr>
                <w:rFonts w:ascii="Cambria Math" w:hAnsi="Cambria Math"/>
                <w:i/>
              </w:rPr>
            </m:ctrlPr>
          </m:sPrePr>
          <m:sub>
            <m:r>
              <w:rPr>
                <w:rFonts w:ascii="Cambria Math" w:hAnsi="Cambria Math"/>
              </w:rPr>
              <m:t>t</m:t>
            </m:r>
          </m:sub>
          <m:sup/>
          <m:e>
            <m:sSub>
              <m:sSubPr>
                <m:ctrlPr>
                  <w:rPr>
                    <w:rFonts w:ascii="Cambria Math" w:hAnsi="Cambria Math"/>
                    <w:i/>
                  </w:rPr>
                </m:ctrlPr>
              </m:sSubPr>
              <m:e>
                <m:r>
                  <w:rPr>
                    <w:rFonts w:ascii="Cambria Math" w:hAnsi="Cambria Math"/>
                  </w:rPr>
                  <m:t>V</m:t>
                </m:r>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r>
              <w:rPr>
                <w:rFonts w:ascii="Cambria Math"/>
              </w:rPr>
              <m:t>=</m:t>
            </m:r>
            <m:sSub>
              <m:sSubPr>
                <m:ctrlPr>
                  <w:rPr>
                    <w:rFonts w:ascii="Cambria Math" w:hAnsi="Cambria Math"/>
                    <w:i/>
                  </w:rPr>
                </m:ctrlPr>
              </m:sSubPr>
              <m:e>
                <m:r>
                  <w:rPr>
                    <w:rFonts w:ascii="Cambria Math" w:hAnsi="Cambria Math"/>
                  </w:rPr>
                  <m:t>A</m:t>
                </m:r>
              </m:e>
              <m:sub>
                <m:r>
                  <w:rPr>
                    <w:rFonts w:ascii="Cambria Math"/>
                  </w:rPr>
                  <m:t>x+t:</m:t>
                </m:r>
                <m:acc>
                  <m:accPr>
                    <m:chr m:val="̅"/>
                    <m:ctrlPr>
                      <w:rPr>
                        <w:rFonts w:ascii="Cambria Math" w:hAnsi="Cambria Math"/>
                        <w:i/>
                      </w:rPr>
                    </m:ctrlPr>
                  </m:accPr>
                  <m:e>
                    <m:r>
                      <w:rPr>
                        <w:rFonts w:ascii="Cambria Math"/>
                      </w:rPr>
                      <m:t>n</m:t>
                    </m:r>
                    <m:r>
                      <w:rPr>
                        <w:rFonts w:ascii="Cambria Math" w:hAnsi="Cambria Math"/>
                      </w:rPr>
                      <m:t>-</m:t>
                    </m:r>
                    <m:r>
                      <w:rPr>
                        <w:rFonts w:ascii="Cambria Math"/>
                      </w:rPr>
                      <m:t>t</m:t>
                    </m:r>
                  </m:e>
                </m:acc>
                <m:r>
                  <w:rPr>
                    <w:rFonts w:ascii="Cambria Math"/>
                  </w:rPr>
                  <m: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x+t:</m:t>
                </m:r>
                <m:acc>
                  <m:accPr>
                    <m:chr m:val="̅"/>
                    <m:ctrlPr>
                      <w:rPr>
                        <w:rFonts w:ascii="Cambria Math" w:hAnsi="Cambria Math"/>
                        <w:i/>
                      </w:rPr>
                    </m:ctrlPr>
                  </m:accPr>
                  <m:e>
                    <m:r>
                      <w:rPr>
                        <w:rFonts w:ascii="Cambria Math"/>
                      </w:rPr>
                      <m:t>n+t</m:t>
                    </m:r>
                  </m:e>
                </m:acc>
                <m:r>
                  <w:rPr>
                    <w:rFonts w:ascii="Cambria Math"/>
                  </w:rPr>
                  <m:t>|</m:t>
                </m:r>
              </m:sub>
            </m:sSub>
          </m:e>
        </m:sPre>
      </m:oMath>
      <w:r w:rsidR="00352985" w:rsidRPr="008A19BD">
        <w:rPr>
          <w:rFonts w:eastAsiaTheme="minorEastAsia"/>
        </w:rPr>
        <w:t xml:space="preserve"> </w:t>
      </w:r>
      <w:r w:rsidR="00237534">
        <w:rPr>
          <w:rFonts w:eastAsiaTheme="minorEastAsia"/>
        </w:rPr>
        <w:t xml:space="preserve">           (2.1)</w:t>
      </w:r>
      <w:r w:rsidR="00237534">
        <w:rPr>
          <w:rFonts w:eastAsiaTheme="minorEastAsia"/>
        </w:rPr>
        <w:tab/>
      </w:r>
    </w:p>
    <w:p w:rsidR="00352985" w:rsidRPr="008A19BD" w:rsidRDefault="00352985" w:rsidP="00D16DA8">
      <w:pPr>
        <w:rPr>
          <w:rFonts w:eastAsiaTheme="minorEastAsia"/>
        </w:rPr>
      </w:pPr>
      <w:r w:rsidRPr="008A19BD">
        <w:rPr>
          <w:rFonts w:eastAsiaTheme="minorEastAsia"/>
        </w:rPr>
        <w:t>Keterangan :</w:t>
      </w:r>
    </w:p>
    <w:p w:rsidR="00352985" w:rsidRPr="008A19BD" w:rsidRDefault="00E01235" w:rsidP="00D16DA8">
      <w:pPr>
        <w:rPr>
          <w:rFonts w:eastAsiaTheme="minorEastAsia"/>
        </w:rPr>
      </w:pPr>
      <m:oMath>
        <m:sPre>
          <m:sPrePr>
            <m:ctrlPr>
              <w:rPr>
                <w:rFonts w:ascii="Cambria Math" w:hAnsi="Cambria Math"/>
                <w:i/>
              </w:rPr>
            </m:ctrlPr>
          </m:sPrePr>
          <m:sub>
            <m:r>
              <w:rPr>
                <w:rFonts w:ascii="Cambria Math"/>
              </w:rPr>
              <m:t>t</m:t>
            </m:r>
          </m:sub>
          <m:sup/>
          <m:e>
            <m:sSub>
              <m:sSubPr>
                <m:ctrlPr>
                  <w:rPr>
                    <w:rFonts w:ascii="Cambria Math" w:hAnsi="Cambria Math"/>
                    <w:i/>
                  </w:rPr>
                </m:ctrlPr>
              </m:sSubPr>
              <m:e>
                <m:r>
                  <w:rPr>
                    <w:rFonts w:ascii="Cambria Math" w:hAnsi="Cambria Math"/>
                  </w:rPr>
                  <m:t>V</m:t>
                </m:r>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e>
        </m:sPre>
      </m:oMath>
      <w:r w:rsidR="00352985" w:rsidRPr="008A19BD">
        <w:rPr>
          <w:rFonts w:eastAsiaTheme="minorEastAsia"/>
        </w:rPr>
        <w:tab/>
      </w:r>
      <w:r w:rsidR="00352985" w:rsidRPr="008A19BD">
        <w:rPr>
          <w:rFonts w:eastAsiaTheme="minorEastAsia"/>
        </w:rPr>
        <w:tab/>
        <w:t xml:space="preserve">= cadangan prospektif akhir tahun ke </w:t>
      </w:r>
      <w:r w:rsidR="00352985" w:rsidRPr="008A19BD">
        <w:rPr>
          <w:rFonts w:eastAsiaTheme="minorEastAsia"/>
          <w:i/>
        </w:rPr>
        <w:t>t</w:t>
      </w:r>
      <w:r w:rsidR="00352985" w:rsidRPr="008A19BD">
        <w:rPr>
          <w:rFonts w:eastAsiaTheme="minorEastAsia"/>
        </w:rPr>
        <w:t xml:space="preserve"> untuk asuransi jiwa dwiguna</w:t>
      </w:r>
    </w:p>
    <w:p w:rsidR="00352985" w:rsidRPr="008A19BD" w:rsidRDefault="00E01235" w:rsidP="00D16DA8">
      <w:pPr>
        <w:rPr>
          <w:rFonts w:eastAsiaTheme="minorEastAsia"/>
        </w:rPr>
      </w:pPr>
      <m:oMath>
        <m:sSub>
          <m:sSubPr>
            <m:ctrlPr>
              <w:rPr>
                <w:rFonts w:ascii="Cambria Math" w:hAnsi="Cambria Math"/>
                <w:i/>
              </w:rPr>
            </m:ctrlPr>
          </m:sSubPr>
          <m:e>
            <m:r>
              <w:rPr>
                <w:rFonts w:ascii="Cambria Math" w:hAnsi="Cambria Math"/>
              </w:rPr>
              <m:t>P</m:t>
            </m:r>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x+t:</m:t>
            </m:r>
            <m:acc>
              <m:accPr>
                <m:chr m:val="̅"/>
                <m:ctrlPr>
                  <w:rPr>
                    <w:rFonts w:ascii="Cambria Math" w:hAnsi="Cambria Math"/>
                    <w:i/>
                  </w:rPr>
                </m:ctrlPr>
              </m:accPr>
              <m:e>
                <m:r>
                  <w:rPr>
                    <w:rFonts w:ascii="Cambria Math"/>
                  </w:rPr>
                  <m:t>n+t</m:t>
                </m:r>
              </m:e>
            </m:acc>
            <m:r>
              <w:rPr>
                <w:rFonts w:ascii="Cambria Math"/>
              </w:rPr>
              <m:t>|</m:t>
            </m:r>
          </m:sub>
        </m:sSub>
      </m:oMath>
      <w:r w:rsidR="00352985" w:rsidRPr="008A19BD">
        <w:rPr>
          <w:rFonts w:eastAsiaTheme="minorEastAsia"/>
        </w:rPr>
        <w:tab/>
        <w:t>= santunan yang akan datang pada usia (</w:t>
      </w:r>
      <w:r w:rsidR="00352985" w:rsidRPr="008A19BD">
        <w:rPr>
          <w:rFonts w:eastAsiaTheme="minorEastAsia"/>
          <w:i/>
        </w:rPr>
        <w:t>x+t</w:t>
      </w:r>
      <w:r w:rsidR="00352985" w:rsidRPr="008A19BD">
        <w:rPr>
          <w:rFonts w:eastAsiaTheme="minorEastAsia"/>
        </w:rPr>
        <w:t>) tahun</w:t>
      </w:r>
    </w:p>
    <w:p w:rsidR="00352985" w:rsidRPr="008A19BD" w:rsidRDefault="00352985" w:rsidP="00D16DA8">
      <w:pPr>
        <w:rPr>
          <w:rFonts w:eastAsiaTheme="minorEastAsia"/>
        </w:rPr>
      </w:pPr>
      <w:r w:rsidRPr="008A19BD">
        <w:rPr>
          <w:rFonts w:eastAsiaTheme="minorEastAsia"/>
        </w:rPr>
        <w:t xml:space="preserve"> </w:t>
      </w:r>
      <m:oMath>
        <m:sSub>
          <m:sSubPr>
            <m:ctrlPr>
              <w:rPr>
                <w:rFonts w:ascii="Cambria Math" w:hAnsi="Cambria Math"/>
                <w:i/>
              </w:rPr>
            </m:ctrlPr>
          </m:sSubPr>
          <m:e>
            <m:r>
              <w:rPr>
                <w:rFonts w:ascii="Cambria Math" w:hAnsi="Cambria Math"/>
              </w:rPr>
              <m:t>P</m:t>
            </m:r>
          </m:e>
          <m:sub>
            <m:acc>
              <m:accPr>
                <m:chr m:val="̅"/>
                <m:ctrlPr>
                  <w:rPr>
                    <w:rFonts w:ascii="Cambria Math" w:hAnsi="Cambria Math"/>
                    <w:i/>
                  </w:rPr>
                </m:ctrlPr>
              </m:accPr>
              <m:e>
                <m:r>
                  <w:rPr>
                    <w:rFonts w:ascii="Cambria Math" w:hAnsi="Cambria Math"/>
                  </w:rPr>
                  <m:t>x</m:t>
                </m:r>
                <m:r>
                  <w:rPr>
                    <w:rFonts w:ascii="Cambria Math"/>
                  </w:rPr>
                  <m:t>:</m:t>
                </m:r>
                <m:r>
                  <w:rPr>
                    <w:rFonts w:ascii="Cambria Math" w:hAnsi="Cambria Math"/>
                  </w:rPr>
                  <m:t>n</m:t>
                </m:r>
              </m:e>
            </m:acc>
            <m:r>
              <w:rPr>
                <w:rFonts w:ascii="Cambria Math"/>
              </w:rPr>
              <m:t>|</m:t>
            </m:r>
          </m:sub>
        </m:sSub>
        <m:r>
          <w:rPr>
            <w:rFonts w:ascii="Cambria Math"/>
          </w:rPr>
          <m:t xml:space="preserve"> </m:t>
        </m:r>
        <m:sSub>
          <m:sSubPr>
            <m:ctrlPr>
              <w:rPr>
                <w:rFonts w:ascii="Cambria Math" w:hAnsi="Cambria Math"/>
                <w:i/>
              </w:rPr>
            </m:ctrlPr>
          </m:sSubPr>
          <m:e>
            <m:r>
              <w:rPr>
                <w:rFonts w:ascii="Cambria Math" w:hAnsi="Cambria Math"/>
              </w:rPr>
              <m:t>a</m:t>
            </m:r>
          </m:e>
          <m:sub>
            <m:acc>
              <m:accPr>
                <m:chr m:val="̅"/>
                <m:ctrlPr>
                  <w:rPr>
                    <w:rFonts w:ascii="Cambria Math" w:hAnsi="Cambria Math"/>
                    <w:i/>
                  </w:rPr>
                </m:ctrlPr>
              </m:accPr>
              <m:e>
                <m:r>
                  <w:rPr>
                    <w:rFonts w:ascii="Cambria Math" w:hAnsi="Cambria Math"/>
                  </w:rPr>
                  <m:t>x</m:t>
                </m:r>
                <m:r>
                  <w:rPr>
                    <w:rFonts w:ascii="Cambria Math"/>
                  </w:rPr>
                  <m:t>+</m:t>
                </m:r>
                <m:r>
                  <w:rPr>
                    <w:rFonts w:ascii="Cambria Math" w:hAnsi="Cambria Math"/>
                  </w:rPr>
                  <m:t>t</m:t>
                </m:r>
                <m:r>
                  <w:rPr>
                    <w:rFonts w:ascii="Cambria Math"/>
                  </w:rPr>
                  <m:t>:</m:t>
                </m:r>
                <m:r>
                  <w:rPr>
                    <w:rFonts w:ascii="Cambria Math" w:hAnsi="Cambria Math"/>
                  </w:rPr>
                  <m:t>n-t</m:t>
                </m:r>
              </m:e>
            </m:acc>
            <m:r>
              <w:rPr>
                <w:rFonts w:ascii="Cambria Math"/>
              </w:rPr>
              <m:t>|</m:t>
            </m:r>
          </m:sub>
        </m:sSub>
      </m:oMath>
      <w:r w:rsidRPr="008A19BD">
        <w:rPr>
          <w:rFonts w:eastAsiaTheme="minorEastAsia"/>
        </w:rPr>
        <w:t>= nilai tunai pada usia (</w:t>
      </w:r>
      <w:r w:rsidRPr="008A19BD">
        <w:rPr>
          <w:rFonts w:eastAsiaTheme="minorEastAsia"/>
          <w:i/>
        </w:rPr>
        <w:t>x+t</w:t>
      </w:r>
      <w:r w:rsidRPr="008A19BD">
        <w:rPr>
          <w:rFonts w:eastAsiaTheme="minorEastAsia"/>
        </w:rPr>
        <w:t>) tahun sisa premi mendatang</w:t>
      </w:r>
    </w:p>
    <w:p w:rsidR="00352985" w:rsidRPr="008A19BD" w:rsidRDefault="00352985" w:rsidP="00D16DA8">
      <w:pPr>
        <w:rPr>
          <w:rFonts w:eastAsiaTheme="minorEastAsia"/>
        </w:rPr>
      </w:pPr>
      <w:r w:rsidRPr="008A19BD">
        <w:rPr>
          <w:rFonts w:eastAsiaTheme="minorEastAsia"/>
        </w:rPr>
        <w:t>Sebelum masuk pada rumus premi bersih tunggal, nilai tunai anuitas dan premi bersih tahunan, perlu diketahui bahwa dalam dunia aktuaris sering digunakan simbol-simbol komutasi. Simbol komutasi tersebut bertujuan untuk penyederhanaan penulisan rumus dalam perhitungan. Simbol- symbol tersebut yaitu :</w:t>
      </w:r>
    </w:p>
    <w:p w:rsidR="00A25229" w:rsidRDefault="00352985" w:rsidP="00D16DA8">
      <w:pPr>
        <w:rPr>
          <w:rFonts w:eastAsiaTheme="minorEastAsia"/>
        </w:rPr>
      </w:pPr>
      <w:r w:rsidRPr="008A19BD">
        <w:rPr>
          <w:rFonts w:eastAsiaTheme="minorEastAsia"/>
          <w:i/>
        </w:rPr>
        <w:t>D</w:t>
      </w:r>
      <w:r w:rsidRPr="008A19BD">
        <w:rPr>
          <w:rFonts w:eastAsiaTheme="minorEastAsia"/>
          <w:i/>
          <w:vertAlign w:val="subscript"/>
        </w:rPr>
        <w:t>x</w:t>
      </w:r>
      <w:r w:rsidRPr="008A19BD">
        <w:rPr>
          <w:rFonts w:eastAsiaTheme="minorEastAsia"/>
          <w:i/>
        </w:rPr>
        <w:t xml:space="preserve"> </w:t>
      </w:r>
      <w:r w:rsidRPr="008A19BD">
        <w:rPr>
          <w:rFonts w:eastAsiaTheme="minorEastAsia"/>
        </w:rPr>
        <w:t>yaitu symbol komutasi dari hasil perkalian nilai tunai pembayaran (</w:t>
      </w:r>
      <w:r w:rsidRPr="008A19BD">
        <w:rPr>
          <w:rFonts w:eastAsiaTheme="minorEastAsia"/>
          <w:i/>
        </w:rPr>
        <w:t>v</w:t>
      </w:r>
      <w:r w:rsidRPr="008A19BD">
        <w:rPr>
          <w:rFonts w:eastAsiaTheme="minorEastAsia"/>
        </w:rPr>
        <w:t xml:space="preserve">) pangkat usia </w:t>
      </w:r>
      <w:r w:rsidRPr="008A19BD">
        <w:rPr>
          <w:rFonts w:eastAsiaTheme="minorEastAsia"/>
          <w:i/>
        </w:rPr>
        <w:t>x</w:t>
      </w:r>
      <w:r w:rsidRPr="008A19BD">
        <w:rPr>
          <w:rFonts w:eastAsiaTheme="minorEastAsia"/>
        </w:rPr>
        <w:t xml:space="preserve"> tahun dengan banyak peserta asuransi yang hidup pada usia </w:t>
      </w:r>
      <w:r w:rsidRPr="008A19BD">
        <w:rPr>
          <w:rFonts w:eastAsiaTheme="minorEastAsia"/>
          <w:i/>
        </w:rPr>
        <w:t>x</w:t>
      </w:r>
      <w:r w:rsidRPr="008A19BD">
        <w:rPr>
          <w:rFonts w:eastAsiaTheme="minorEastAsia"/>
        </w:rPr>
        <w:t xml:space="preserve"> tahun, dinotasikan sebagai :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x</m:t>
            </m:r>
          </m:sub>
        </m:sSub>
        <m:r>
          <w:rPr>
            <w:rFonts w:ascii="Cambria Math" w:eastAsiaTheme="minorEastAsia"/>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x</m:t>
            </m:r>
          </m:sup>
        </m:sSup>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x</m:t>
            </m:r>
          </m:sub>
        </m:sSub>
      </m:oMath>
      <w:r w:rsidRPr="008A19BD">
        <w:rPr>
          <w:rFonts w:eastAsiaTheme="minorEastAsia"/>
        </w:rPr>
        <w:t>.</w:t>
      </w:r>
      <w:r w:rsidRPr="008A19BD">
        <w:rPr>
          <w:rFonts w:eastAsiaTheme="minorEastAsia"/>
        </w:rPr>
        <w:tab/>
        <w:t xml:space="preserve">         </w:t>
      </w:r>
      <w:r w:rsidR="00237534">
        <w:rPr>
          <w:rFonts w:eastAsiaTheme="minorEastAsia"/>
        </w:rPr>
        <w:tab/>
      </w:r>
      <w:r w:rsidR="00237534">
        <w:rPr>
          <w:rFonts w:eastAsiaTheme="minorEastAsia"/>
        </w:rPr>
        <w:tab/>
      </w:r>
      <w:r w:rsidR="00237534">
        <w:rPr>
          <w:rFonts w:eastAsiaTheme="minorEastAsia"/>
        </w:rPr>
        <w:tab/>
      </w:r>
      <w:r w:rsidRPr="008A19BD">
        <w:rPr>
          <w:rFonts w:eastAsiaTheme="minorEastAsia"/>
        </w:rPr>
        <w:t xml:space="preserve"> </w:t>
      </w:r>
      <w:r w:rsidR="00237534">
        <w:rPr>
          <w:rFonts w:eastAsiaTheme="minorEastAsia"/>
        </w:rPr>
        <w:t xml:space="preserve">        </w:t>
      </w:r>
      <w:r w:rsidRPr="008A19BD">
        <w:rPr>
          <w:rFonts w:eastAsiaTheme="minorEastAsia"/>
        </w:rPr>
        <w:t xml:space="preserve"> (2.2)</w:t>
      </w:r>
    </w:p>
    <w:p w:rsidR="00352985" w:rsidRPr="008A19BD" w:rsidRDefault="00352985" w:rsidP="00D16DA8">
      <w:pPr>
        <w:rPr>
          <w:rFonts w:eastAsiaTheme="minorEastAsia"/>
        </w:rPr>
      </w:pPr>
      <w:r w:rsidRPr="008A19BD">
        <w:rPr>
          <w:rFonts w:eastAsiaTheme="minorEastAsia"/>
          <w:i/>
        </w:rPr>
        <w:t>N</w:t>
      </w:r>
      <w:r w:rsidRPr="008A19BD">
        <w:rPr>
          <w:rFonts w:eastAsiaTheme="minorEastAsia"/>
          <w:i/>
          <w:vertAlign w:val="subscript"/>
        </w:rPr>
        <w:t>x</w:t>
      </w:r>
      <w:r w:rsidRPr="008A19BD">
        <w:rPr>
          <w:rFonts w:eastAsiaTheme="minorEastAsia"/>
          <w:i/>
        </w:rPr>
        <w:t xml:space="preserve"> </w:t>
      </w:r>
      <w:r w:rsidRPr="008A19BD">
        <w:rPr>
          <w:rFonts w:eastAsiaTheme="minorEastAsia"/>
        </w:rPr>
        <w:t xml:space="preserve">yaitu symbol komutasi dari akumulasi nilai </w:t>
      </w:r>
      <w:r w:rsidRPr="008A19BD">
        <w:rPr>
          <w:rFonts w:eastAsiaTheme="minorEastAsia"/>
          <w:i/>
        </w:rPr>
        <w:t>D</w:t>
      </w:r>
      <w:r w:rsidRPr="008A19BD">
        <w:rPr>
          <w:rFonts w:eastAsiaTheme="minorEastAsia"/>
          <w:i/>
          <w:vertAlign w:val="subscript"/>
        </w:rPr>
        <w:t>x+k</w:t>
      </w:r>
      <w:r w:rsidRPr="008A19BD">
        <w:rPr>
          <w:rFonts w:eastAsiaTheme="minorEastAsia"/>
        </w:rPr>
        <w:t xml:space="preserve"> dengan </w:t>
      </w:r>
      <w:r w:rsidRPr="008A19BD">
        <w:rPr>
          <w:rFonts w:eastAsiaTheme="minorEastAsia"/>
          <w:i/>
        </w:rPr>
        <w:t>k</w:t>
      </w:r>
      <w:r w:rsidRPr="008A19BD">
        <w:rPr>
          <w:rFonts w:eastAsiaTheme="minorEastAsia"/>
        </w:rPr>
        <w:t xml:space="preserve"> = 0 tahun sampai ke </w:t>
      </w:r>
      <w:r w:rsidRPr="008A19BD">
        <w:rPr>
          <w:rFonts w:eastAsiaTheme="minorEastAsia"/>
          <w:i/>
        </w:rPr>
        <w:t>w</w:t>
      </w:r>
      <w:r w:rsidRPr="008A19BD">
        <w:rPr>
          <w:rFonts w:eastAsiaTheme="minorEastAsia"/>
        </w:rPr>
        <w:t xml:space="preserve">, dinotasikan sebagai: </w:t>
      </w:r>
    </w:p>
    <w:p w:rsidR="00352985" w:rsidRPr="008A19BD" w:rsidRDefault="00E01235" w:rsidP="00D16DA8">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x</m:t>
            </m:r>
          </m:sub>
        </m:sSub>
        <m:r>
          <w:rPr>
            <w:rFonts w:ascii="Cambria Math" w:eastAsiaTheme="minorEastAsia"/>
          </w:rPr>
          <m:t>=</m:t>
        </m:r>
        <m:nary>
          <m:naryPr>
            <m:chr m:val="∑"/>
            <m:limLoc m:val="undOvr"/>
            <m:ctrlPr>
              <w:rPr>
                <w:rFonts w:ascii="Cambria Math" w:eastAsiaTheme="minorEastAsia" w:hAnsi="Cambria Math"/>
                <w:i/>
              </w:rPr>
            </m:ctrlPr>
          </m:naryPr>
          <m:sub>
            <m:r>
              <w:rPr>
                <w:rFonts w:ascii="Cambria Math" w:eastAsiaTheme="minorEastAsia" w:hAnsi="Cambria Math"/>
              </w:rPr>
              <m:t>k</m:t>
            </m:r>
            <m:r>
              <w:rPr>
                <w:rFonts w:ascii="Cambria Math" w:eastAsiaTheme="minorEastAsia"/>
              </w:rPr>
              <m:t>=0</m:t>
            </m:r>
          </m:sub>
          <m:sup>
            <m:r>
              <w:rPr>
                <w:rFonts w:ascii="Cambria Math" w:eastAsiaTheme="minorEastAsia" w:hAnsi="Cambria Math"/>
              </w:rPr>
              <m:t>w</m:t>
            </m:r>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x</m:t>
                </m:r>
                <m:r>
                  <w:rPr>
                    <w:rFonts w:ascii="Cambria Math" w:eastAsiaTheme="minorEastAsia"/>
                  </w:rPr>
                  <m:t>+</m:t>
                </m:r>
                <m:r>
                  <w:rPr>
                    <w:rFonts w:ascii="Cambria Math" w:eastAsiaTheme="minorEastAsia" w:hAnsi="Cambria Math"/>
                  </w:rPr>
                  <m:t>k</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x</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x</m:t>
                </m:r>
                <m:r>
                  <w:rPr>
                    <w:rFonts w:ascii="Cambria Math" w:eastAsiaTheme="minorEastAsia"/>
                  </w:rPr>
                  <m:t>+1</m:t>
                </m:r>
              </m:sub>
            </m:sSub>
            <m:r>
              <w:rPr>
                <w:rFonts w:ascii="Cambria Math" w:eastAsiaTheme="minorEastAsia"/>
              </w:rPr>
              <m:t>+</m:t>
            </m:r>
            <m:r>
              <w:rPr>
                <w:rFonts w:ascii="Cambria Math" w:eastAsiaTheme="minorEastAsia" w:hAnsi="Cambria Math"/>
              </w:rPr>
              <m:t>…</m:t>
            </m:r>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w</m:t>
                </m:r>
              </m:sub>
            </m:sSub>
          </m:e>
        </m:nary>
      </m:oMath>
      <w:r w:rsidR="002A1DA0">
        <w:rPr>
          <w:rFonts w:eastAsiaTheme="minorEastAsia"/>
        </w:rPr>
        <w:t xml:space="preserve">  </w:t>
      </w:r>
      <w:r w:rsidR="00352985" w:rsidRPr="008A19BD">
        <w:rPr>
          <w:rFonts w:eastAsiaTheme="minorEastAsia"/>
        </w:rPr>
        <w:t>(2.3)</w:t>
      </w:r>
    </w:p>
    <w:p w:rsidR="00352985" w:rsidRPr="008A19BD" w:rsidRDefault="00352985" w:rsidP="00D16DA8">
      <w:pPr>
        <w:rPr>
          <w:rFonts w:eastAsiaTheme="minorEastAsia"/>
        </w:rPr>
      </w:pPr>
      <w:r w:rsidRPr="008A19BD">
        <w:rPr>
          <w:rFonts w:eastAsiaTheme="minorEastAsia"/>
          <w:i/>
        </w:rPr>
        <w:t>C</w:t>
      </w:r>
      <w:r w:rsidRPr="008A19BD">
        <w:rPr>
          <w:rFonts w:eastAsiaTheme="minorEastAsia"/>
          <w:i/>
          <w:vertAlign w:val="subscript"/>
        </w:rPr>
        <w:t>x</w:t>
      </w:r>
      <w:r w:rsidRPr="008A19BD">
        <w:rPr>
          <w:rFonts w:eastAsiaTheme="minorEastAsia"/>
        </w:rPr>
        <w:t xml:space="preserve"> yaitu symbol komutasi dari hasil perkalian nilai tunai pembayaran (</w:t>
      </w:r>
      <w:r w:rsidRPr="008A19BD">
        <w:rPr>
          <w:rFonts w:eastAsiaTheme="minorEastAsia"/>
          <w:i/>
        </w:rPr>
        <w:t>v</w:t>
      </w:r>
      <w:r w:rsidRPr="008A19BD">
        <w:rPr>
          <w:rFonts w:eastAsiaTheme="minorEastAsia"/>
        </w:rPr>
        <w:t xml:space="preserve">) pangkat usia </w:t>
      </w:r>
      <w:r w:rsidRPr="008A19BD">
        <w:rPr>
          <w:rFonts w:eastAsiaTheme="minorEastAsia"/>
          <w:i/>
        </w:rPr>
        <w:t>x</w:t>
      </w:r>
      <w:r w:rsidRPr="008A19BD">
        <w:rPr>
          <w:rFonts w:eastAsiaTheme="minorEastAsia"/>
        </w:rPr>
        <w:t xml:space="preserve"> tahun dengan banyak peserta asuransi yang meninggal pada usia </w:t>
      </w:r>
      <w:r w:rsidRPr="008A19BD">
        <w:rPr>
          <w:rFonts w:eastAsiaTheme="minorEastAsia"/>
          <w:i/>
        </w:rPr>
        <w:t>x</w:t>
      </w:r>
      <w:r w:rsidRPr="008A19BD">
        <w:rPr>
          <w:rFonts w:eastAsiaTheme="minorEastAsia"/>
        </w:rPr>
        <w:t xml:space="preserve"> tahun, dinotasikan sebagai: </w:t>
      </w:r>
    </w:p>
    <w:p w:rsidR="00352985" w:rsidRPr="008A19BD" w:rsidRDefault="00E01235" w:rsidP="00D16DA8">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x</m:t>
            </m:r>
          </m:sub>
        </m:sSub>
        <m:r>
          <w:rPr>
            <w:rFonts w:ascii="Cambria Math" w:eastAsiaTheme="minorEastAsia"/>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x</m:t>
            </m:r>
            <m:r>
              <w:rPr>
                <w:rFonts w:ascii="Cambria Math" w:eastAsiaTheme="minorEastAsia"/>
              </w:rPr>
              <m:t>+1</m:t>
            </m:r>
          </m:sup>
        </m:sSup>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x</m:t>
            </m:r>
          </m:sub>
        </m:sSub>
      </m:oMath>
      <w:r w:rsidR="002A1DA0">
        <w:rPr>
          <w:rFonts w:eastAsiaTheme="minorEastAsia"/>
        </w:rPr>
        <w:tab/>
        <w:t xml:space="preserve">  </w:t>
      </w:r>
      <w:r w:rsidR="00352985" w:rsidRPr="008A19BD">
        <w:rPr>
          <w:rFonts w:eastAsiaTheme="minorEastAsia"/>
        </w:rPr>
        <w:t xml:space="preserve">                                            (2.4)</w:t>
      </w:r>
    </w:p>
    <w:p w:rsidR="00352985" w:rsidRPr="008A19BD" w:rsidRDefault="00352985" w:rsidP="00D16DA8">
      <w:pPr>
        <w:rPr>
          <w:rFonts w:eastAsiaTheme="minorEastAsia"/>
        </w:rPr>
      </w:pPr>
      <w:r w:rsidRPr="008A19BD">
        <w:rPr>
          <w:rFonts w:eastAsiaTheme="minorEastAsia"/>
          <w:i/>
        </w:rPr>
        <w:t>M</w:t>
      </w:r>
      <w:r w:rsidRPr="008A19BD">
        <w:rPr>
          <w:rFonts w:eastAsiaTheme="minorEastAsia"/>
          <w:i/>
          <w:vertAlign w:val="subscript"/>
        </w:rPr>
        <w:t>x</w:t>
      </w:r>
      <w:r w:rsidRPr="008A19BD">
        <w:rPr>
          <w:rFonts w:eastAsiaTheme="minorEastAsia"/>
        </w:rPr>
        <w:t xml:space="preserve"> yaitu symbol komutasi dari akumulasi nilai </w:t>
      </w:r>
      <w:r w:rsidRPr="008A19BD">
        <w:rPr>
          <w:rFonts w:eastAsiaTheme="minorEastAsia"/>
          <w:i/>
        </w:rPr>
        <w:t>C</w:t>
      </w:r>
      <w:r w:rsidRPr="008A19BD">
        <w:rPr>
          <w:rFonts w:eastAsiaTheme="minorEastAsia"/>
          <w:i/>
          <w:vertAlign w:val="subscript"/>
        </w:rPr>
        <w:t>x+k</w:t>
      </w:r>
      <w:r w:rsidRPr="008A19BD">
        <w:rPr>
          <w:rFonts w:eastAsiaTheme="minorEastAsia"/>
        </w:rPr>
        <w:t xml:space="preserve"> dengan </w:t>
      </w:r>
      <w:r w:rsidRPr="008A19BD">
        <w:rPr>
          <w:rFonts w:eastAsiaTheme="minorEastAsia"/>
          <w:i/>
        </w:rPr>
        <w:t>k</w:t>
      </w:r>
      <w:r w:rsidRPr="008A19BD">
        <w:rPr>
          <w:rFonts w:eastAsiaTheme="minorEastAsia"/>
        </w:rPr>
        <w:t xml:space="preserve"> = 0 tahun sampai ke </w:t>
      </w:r>
      <w:r w:rsidRPr="008A19BD">
        <w:rPr>
          <w:rFonts w:eastAsiaTheme="minorEastAsia"/>
          <w:i/>
        </w:rPr>
        <w:t>w</w:t>
      </w:r>
      <w:r w:rsidRPr="008A19BD">
        <w:rPr>
          <w:rFonts w:eastAsiaTheme="minorEastAsia"/>
        </w:rPr>
        <w:t xml:space="preserve">, dinotasikan sebagai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x</m:t>
            </m:r>
          </m:sub>
        </m:sSub>
        <m:r>
          <w:rPr>
            <w:rFonts w:ascii="Cambria Math" w:eastAsiaTheme="minorEastAsia"/>
          </w:rPr>
          <m:t>=</m:t>
        </m:r>
        <m:nary>
          <m:naryPr>
            <m:chr m:val="∑"/>
            <m:limLoc m:val="undOvr"/>
            <m:ctrlPr>
              <w:rPr>
                <w:rFonts w:ascii="Cambria Math" w:eastAsiaTheme="minorEastAsia" w:hAnsi="Cambria Math"/>
                <w:i/>
              </w:rPr>
            </m:ctrlPr>
          </m:naryPr>
          <m:sub>
            <m:r>
              <w:rPr>
                <w:rFonts w:ascii="Cambria Math" w:eastAsiaTheme="minorEastAsia" w:hAnsi="Cambria Math"/>
              </w:rPr>
              <m:t>k</m:t>
            </m:r>
            <m:r>
              <w:rPr>
                <w:rFonts w:ascii="Cambria Math" w:eastAsiaTheme="minorEastAsia"/>
              </w:rPr>
              <m:t>=0</m:t>
            </m:r>
          </m:sub>
          <m:sup>
            <m:r>
              <w:rPr>
                <w:rFonts w:ascii="Cambria Math" w:eastAsiaTheme="minorEastAsia" w:hAnsi="Cambria Math"/>
              </w:rPr>
              <m:t>w</m:t>
            </m:r>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x</m:t>
                </m:r>
                <m:r>
                  <w:rPr>
                    <w:rFonts w:ascii="Cambria Math" w:eastAsiaTheme="minorEastAsia"/>
                  </w:rPr>
                  <m:t>+</m:t>
                </m:r>
                <m:r>
                  <w:rPr>
                    <w:rFonts w:ascii="Cambria Math" w:eastAsiaTheme="minorEastAsia" w:hAnsi="Cambria Math"/>
                  </w:rPr>
                  <m:t>k</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x</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x</m:t>
                </m:r>
                <m:r>
                  <w:rPr>
                    <w:rFonts w:ascii="Cambria Math" w:eastAsiaTheme="minorEastAsia"/>
                  </w:rPr>
                  <m:t>+1</m:t>
                </m:r>
              </m:sub>
            </m:sSub>
            <m:r>
              <w:rPr>
                <w:rFonts w:ascii="Cambria Math" w:eastAsiaTheme="minorEastAsia"/>
              </w:rPr>
              <m:t>+</m:t>
            </m:r>
            <m:r>
              <w:rPr>
                <w:rFonts w:ascii="Cambria Math" w:eastAsiaTheme="minorEastAsia" w:hAnsi="Cambria Math"/>
              </w:rPr>
              <m:t>…</m:t>
            </m:r>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w</m:t>
                </m:r>
              </m:sub>
            </m:sSub>
          </m:e>
        </m:nary>
      </m:oMath>
      <w:r w:rsidRPr="008A19BD">
        <w:rPr>
          <w:rFonts w:eastAsiaTheme="minorEastAsia"/>
        </w:rPr>
        <w:t xml:space="preserve"> </w:t>
      </w:r>
      <w:r w:rsidR="002A1DA0">
        <w:rPr>
          <w:rFonts w:eastAsiaTheme="minorEastAsia"/>
        </w:rPr>
        <w:tab/>
      </w:r>
      <w:r w:rsidR="002A1DA0">
        <w:rPr>
          <w:rFonts w:eastAsiaTheme="minorEastAsia"/>
        </w:rPr>
        <w:tab/>
      </w:r>
      <w:r w:rsidR="002A1DA0">
        <w:rPr>
          <w:rFonts w:eastAsiaTheme="minorEastAsia"/>
        </w:rPr>
        <w:tab/>
      </w:r>
      <w:r w:rsidRPr="008A19BD">
        <w:rPr>
          <w:rFonts w:eastAsiaTheme="minorEastAsia"/>
        </w:rPr>
        <w:t xml:space="preserve">         (2.5)</w:t>
      </w:r>
    </w:p>
    <w:p w:rsidR="00352985" w:rsidRPr="008A19BD" w:rsidRDefault="00352985" w:rsidP="00D16DA8">
      <w:pPr>
        <w:rPr>
          <w:rFonts w:eastAsiaTheme="minorEastAsia"/>
        </w:rPr>
      </w:pPr>
      <w:r w:rsidRPr="008A19BD">
        <w:rPr>
          <w:rFonts w:eastAsiaTheme="minorEastAsia"/>
          <w:i/>
        </w:rPr>
        <w:t>w</w:t>
      </w:r>
      <w:r w:rsidRPr="008A19BD">
        <w:rPr>
          <w:rFonts w:eastAsiaTheme="minorEastAsia"/>
        </w:rPr>
        <w:t xml:space="preserve"> menunjukkan usia tertinggi sampai jangka waktu asuransi.</w:t>
      </w:r>
    </w:p>
    <w:p w:rsidR="00352985" w:rsidRPr="008A19BD" w:rsidRDefault="00352985" w:rsidP="00D16DA8">
      <w:pPr>
        <w:rPr>
          <w:rFonts w:eastAsiaTheme="minorEastAsia"/>
        </w:rPr>
      </w:pPr>
      <w:r w:rsidRPr="008A19BD">
        <w:rPr>
          <w:rFonts w:eastAsiaTheme="minorEastAsia"/>
        </w:rPr>
        <w:lastRenderedPageBreak/>
        <w:t xml:space="preserve">Dengan tingkat suku bunga </w:t>
      </w:r>
      <w:r w:rsidRPr="008A19BD">
        <w:rPr>
          <w:rFonts w:eastAsiaTheme="minorEastAsia"/>
          <w:i/>
        </w:rPr>
        <w:t>i</w:t>
      </w:r>
      <w:r w:rsidRPr="008A19BD">
        <w:rPr>
          <w:rFonts w:eastAsiaTheme="minorEastAsia"/>
        </w:rPr>
        <w:t>, nilai tunai pembayaran secara matematis dapat ditulis</w:t>
      </w:r>
    </w:p>
    <w:p w:rsidR="00352985" w:rsidRPr="008A19BD" w:rsidRDefault="00352985" w:rsidP="00D16DA8">
      <w:pPr>
        <w:rPr>
          <w:rFonts w:eastAsiaTheme="minorEastAsia"/>
        </w:rPr>
      </w:pPr>
      <m:oMath>
        <m:r>
          <w:rPr>
            <w:rFonts w:ascii="Cambria Math" w:eastAsiaTheme="minorEastAsia" w:hAnsi="Cambria Math"/>
          </w:rPr>
          <m:t>v</m:t>
        </m:r>
        <m:r>
          <w:rPr>
            <w:rFonts w:ascii="Cambria Math" w:eastAsiaTheme="minorEastAsia"/>
          </w:rPr>
          <m:t>=</m:t>
        </m:r>
        <m:f>
          <m:fPr>
            <m:ctrlPr>
              <w:rPr>
                <w:rFonts w:ascii="Cambria Math" w:eastAsiaTheme="minorEastAsia" w:hAnsi="Cambria Math"/>
                <w:i/>
              </w:rPr>
            </m:ctrlPr>
          </m:fPr>
          <m:num>
            <m:r>
              <w:rPr>
                <w:rFonts w:ascii="Cambria Math" w:eastAsiaTheme="minorEastAsia"/>
              </w:rPr>
              <m:t>1</m:t>
            </m:r>
          </m:num>
          <m:den>
            <m:r>
              <w:rPr>
                <w:rFonts w:ascii="Cambria Math" w:eastAsiaTheme="minorEastAsia"/>
              </w:rPr>
              <m:t>(</m:t>
            </m:r>
            <m:r>
              <w:rPr>
                <w:rFonts w:ascii="Cambria Math" w:eastAsiaTheme="minorEastAsia" w:hAnsi="Cambria Math"/>
              </w:rPr>
              <m:t>i</m:t>
            </m:r>
            <m:r>
              <w:rPr>
                <w:rFonts w:ascii="Cambria Math" w:eastAsiaTheme="minorEastAsia"/>
              </w:rPr>
              <m:t>+1)</m:t>
            </m:r>
          </m:den>
        </m:f>
      </m:oMath>
      <w:r w:rsidR="002A1DA0">
        <w:rPr>
          <w:rFonts w:eastAsiaTheme="minorEastAsia"/>
        </w:rPr>
        <w:t xml:space="preserve"> </w:t>
      </w:r>
      <w:r w:rsidRPr="008A19BD">
        <w:rPr>
          <w:rFonts w:eastAsiaTheme="minorEastAsia"/>
        </w:rPr>
        <w:t xml:space="preserve">                                  </w:t>
      </w:r>
      <w:r w:rsidR="002A1DA0">
        <w:rPr>
          <w:rFonts w:eastAsiaTheme="minorEastAsia"/>
        </w:rPr>
        <w:t xml:space="preserve">                    (2.6)</w:t>
      </w:r>
    </w:p>
    <w:p w:rsidR="00352985" w:rsidRPr="008A19BD" w:rsidRDefault="00352985" w:rsidP="00D16DA8">
      <w:pPr>
        <w:rPr>
          <w:rFonts w:eastAsiaTheme="minorEastAsia"/>
        </w:rPr>
      </w:pPr>
      <w:r w:rsidRPr="008A19BD">
        <w:t xml:space="preserve">Dengan menggunakan simbol komutasi, dapat dihitung nilai premi tunggal bersih asuransi jiwa dwiguna yang dinotasikan dengan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x</m:t>
            </m:r>
            <m:r>
              <w:rPr>
                <w:rFonts w:ascii="Cambria Math" w:eastAsiaTheme="minorEastAsia"/>
              </w:rPr>
              <m:t>:</m:t>
            </m:r>
            <m:acc>
              <m:accPr>
                <m:chr m:val="̅"/>
                <m:ctrlPr>
                  <w:rPr>
                    <w:rFonts w:ascii="Cambria Math" w:eastAsiaTheme="minorEastAsia" w:hAnsi="Cambria Math"/>
                    <w:i/>
                  </w:rPr>
                </m:ctrlPr>
              </m:accPr>
              <m:e>
                <m:r>
                  <w:rPr>
                    <w:rFonts w:ascii="Cambria Math" w:eastAsiaTheme="minorEastAsia" w:hAnsi="Cambria Math"/>
                  </w:rPr>
                  <m:t>n</m:t>
                </m:r>
              </m:e>
            </m:acc>
            <m:r>
              <w:rPr>
                <w:rFonts w:ascii="Cambria Math" w:eastAsiaTheme="minorEastAsia"/>
              </w:rPr>
              <m:t>|</m:t>
            </m:r>
          </m:sub>
        </m:sSub>
      </m:oMath>
      <w:r w:rsidRPr="008A19BD">
        <w:rPr>
          <w:rFonts w:eastAsiaTheme="minorEastAsia"/>
        </w:rPr>
        <w:t>. Rumus premi tunggal bersih asuransi jiwa dwiguna yaitu</w:t>
      </w:r>
    </w:p>
    <w:p w:rsidR="00352985" w:rsidRPr="008A19BD" w:rsidRDefault="00E01235" w:rsidP="00D16DA8">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x</m:t>
            </m:r>
            <m:r>
              <w:rPr>
                <w:rFonts w:ascii="Cambria Math" w:eastAsiaTheme="minorEastAsia"/>
              </w:rPr>
              <m:t>:</m:t>
            </m:r>
            <m:acc>
              <m:accPr>
                <m:chr m:val="̅"/>
                <m:ctrlPr>
                  <w:rPr>
                    <w:rFonts w:ascii="Cambria Math" w:eastAsiaTheme="minorEastAsia" w:hAnsi="Cambria Math"/>
                    <w:i/>
                  </w:rPr>
                </m:ctrlPr>
              </m:accPr>
              <m:e>
                <m:r>
                  <w:rPr>
                    <w:rFonts w:ascii="Cambria Math" w:eastAsiaTheme="minorEastAsia" w:hAnsi="Cambria Math"/>
                  </w:rPr>
                  <m:t>n</m:t>
                </m:r>
              </m:e>
            </m:acc>
            <m:r>
              <w:rPr>
                <w:rFonts w:ascii="Cambria Math" w:eastAsiaTheme="minorEastAsia"/>
              </w:rPr>
              <m:t>|</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x</m:t>
                </m:r>
                <m:r>
                  <w:rPr>
                    <w:rFonts w:ascii="Cambria Math"/>
                  </w:rPr>
                  <m:t>+</m:t>
                </m:r>
                <m:r>
                  <w:rPr>
                    <w:rFonts w:ascii="Cambria Math" w:hAnsi="Cambria Math"/>
                  </w:rPr>
                  <m:t>n</m:t>
                </m:r>
              </m:sub>
            </m:sSub>
            <m:r>
              <w:rPr>
                <w:rFonts w:ascii="Cambria Math"/>
              </w:rPr>
              <m:t>+</m:t>
            </m:r>
            <m:sSub>
              <m:sSubPr>
                <m:ctrlPr>
                  <w:rPr>
                    <w:rFonts w:ascii="Cambria Math" w:hAnsi="Cambria Math"/>
                    <w:i/>
                  </w:rPr>
                </m:ctrlPr>
              </m:sSubPr>
              <m:e>
                <m:r>
                  <w:rPr>
                    <w:rFonts w:ascii="Cambria Math" w:hAnsi="Cambria Math"/>
                  </w:rPr>
                  <m:t>D</m:t>
                </m:r>
              </m:e>
              <m:sub>
                <m:r>
                  <w:rPr>
                    <w:rFonts w:ascii="Cambria Math" w:hAnsi="Cambria Math"/>
                  </w:rPr>
                  <m:t>x</m:t>
                </m:r>
                <m:r>
                  <w:rPr>
                    <w:rFonts w:ascii="Cambria Math"/>
                  </w:rPr>
                  <m:t>+</m:t>
                </m:r>
                <m:r>
                  <w:rPr>
                    <w:rFonts w:ascii="Cambria Math" w:hAnsi="Cambria Math"/>
                  </w:rPr>
                  <m:t>n</m:t>
                </m:r>
              </m:sub>
            </m:sSub>
          </m:num>
          <m:den>
            <m:sSub>
              <m:sSubPr>
                <m:ctrlPr>
                  <w:rPr>
                    <w:rFonts w:ascii="Cambria Math" w:hAnsi="Cambria Math"/>
                    <w:i/>
                  </w:rPr>
                </m:ctrlPr>
              </m:sSubPr>
              <m:e>
                <m:r>
                  <w:rPr>
                    <w:rFonts w:ascii="Cambria Math" w:hAnsi="Cambria Math"/>
                  </w:rPr>
                  <m:t>D</m:t>
                </m:r>
              </m:e>
              <m:sub>
                <m:r>
                  <w:rPr>
                    <w:rFonts w:ascii="Cambria Math" w:hAnsi="Cambria Math"/>
                  </w:rPr>
                  <m:t>x</m:t>
                </m:r>
              </m:sub>
            </m:sSub>
          </m:den>
        </m:f>
      </m:oMath>
      <w:r w:rsidR="002A1DA0">
        <w:rPr>
          <w:rFonts w:eastAsiaTheme="minorEastAsia"/>
        </w:rPr>
        <w:t xml:space="preserve">             </w:t>
      </w:r>
      <w:r w:rsidR="00352985" w:rsidRPr="008A19BD">
        <w:rPr>
          <w:rFonts w:eastAsiaTheme="minorEastAsia"/>
        </w:rPr>
        <w:t xml:space="preserve">   </w:t>
      </w:r>
      <w:r w:rsidR="002A1DA0">
        <w:rPr>
          <w:rFonts w:eastAsiaTheme="minorEastAsia"/>
        </w:rPr>
        <w:t xml:space="preserve">                  (2.7)</w:t>
      </w:r>
    </w:p>
    <w:p w:rsidR="00352985" w:rsidRPr="008A19BD" w:rsidRDefault="00352985" w:rsidP="00D16DA8">
      <w:r w:rsidRPr="008A19BD">
        <w:t>Selanjutnya dihitung nilai tunai anuitas berjangka awal dengan rumus sebagai berikut :</w:t>
      </w:r>
    </w:p>
    <w:p w:rsidR="00352985" w:rsidRPr="008A19BD" w:rsidRDefault="00E01235" w:rsidP="00D16DA8">
      <w:pPr>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x</m:t>
                </m:r>
                <m:r>
                  <w:rPr>
                    <w:rFonts w:ascii="Cambria Math"/>
                  </w:rPr>
                  <m:t>+</m:t>
                </m:r>
                <m:r>
                  <w:rPr>
                    <w:rFonts w:ascii="Cambria Math" w:hAnsi="Cambria Math"/>
                  </w:rPr>
                  <m:t>n</m:t>
                </m:r>
              </m:sub>
            </m:sSub>
          </m:num>
          <m:den>
            <m:sSub>
              <m:sSubPr>
                <m:ctrlPr>
                  <w:rPr>
                    <w:rFonts w:ascii="Cambria Math" w:hAnsi="Cambria Math"/>
                    <w:i/>
                  </w:rPr>
                </m:ctrlPr>
              </m:sSubPr>
              <m:e>
                <m:r>
                  <w:rPr>
                    <w:rFonts w:ascii="Cambria Math" w:hAnsi="Cambria Math"/>
                  </w:rPr>
                  <m:t>D</m:t>
                </m:r>
              </m:e>
              <m:sub>
                <m:r>
                  <w:rPr>
                    <w:rFonts w:ascii="Cambria Math" w:hAnsi="Cambria Math"/>
                  </w:rPr>
                  <m:t>x</m:t>
                </m:r>
              </m:sub>
            </m:sSub>
          </m:den>
        </m:f>
      </m:oMath>
      <w:r w:rsidR="004712F0">
        <w:rPr>
          <w:rFonts w:eastAsiaTheme="minorEastAsia"/>
        </w:rPr>
        <w:t xml:space="preserve">               </w:t>
      </w:r>
      <w:r w:rsidR="00352985" w:rsidRPr="008A19BD">
        <w:rPr>
          <w:rFonts w:eastAsiaTheme="minorEastAsia"/>
        </w:rPr>
        <w:t xml:space="preserve">         </w:t>
      </w:r>
      <w:r w:rsidR="004712F0">
        <w:rPr>
          <w:rFonts w:eastAsiaTheme="minorEastAsia"/>
        </w:rPr>
        <w:t xml:space="preserve">                    (2.8)</w:t>
      </w:r>
    </w:p>
    <w:p w:rsidR="00352985" w:rsidRPr="008A19BD" w:rsidRDefault="00352985" w:rsidP="00D16DA8">
      <w:pPr>
        <w:rPr>
          <w:rFonts w:eastAsiaTheme="minorEastAsia"/>
        </w:rPr>
      </w:pPr>
      <w:r w:rsidRPr="008A19BD">
        <w:t>Setelah diperoleh nilai tunai anuitas berjangka awal dan nilai premi tunggal bersih, maka dapat dihitung nilai premi tahunan bersih asuransi jiwa dwiguna dengan rumus:</w:t>
      </w:r>
    </w:p>
    <w:p w:rsidR="00352985" w:rsidRPr="008A19BD" w:rsidRDefault="00E01235" w:rsidP="00D16DA8">
      <w:pPr>
        <w:rPr>
          <w:rFonts w:eastAsiaTheme="minorEastAsia"/>
        </w:rPr>
      </w:pPr>
      <m:oMath>
        <m:sSub>
          <m:sSubPr>
            <m:ctrlPr>
              <w:rPr>
                <w:rFonts w:ascii="Cambria Math" w:hAnsi="Cambria Math"/>
                <w:i/>
              </w:rPr>
            </m:ctrlPr>
          </m:sSubPr>
          <m:e>
            <m:r>
              <w:rPr>
                <w:rFonts w:ascii="Cambria Math" w:hAnsi="Cambria Math"/>
              </w:rPr>
              <m:t>P</m:t>
            </m:r>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x</m:t>
                </m:r>
                <m:r>
                  <w:rPr>
                    <w:rFonts w:ascii="Cambria Math"/>
                  </w:rPr>
                  <m:t>+</m:t>
                </m:r>
                <m:r>
                  <w:rPr>
                    <w:rFonts w:ascii="Cambria Math" w:hAnsi="Cambria Math"/>
                  </w:rPr>
                  <m:t>n</m:t>
                </m:r>
              </m:sub>
            </m:sSub>
            <m:r>
              <w:rPr>
                <w:rFonts w:ascii="Cambria Math"/>
              </w:rPr>
              <m:t>+</m:t>
            </m:r>
            <m:sSub>
              <m:sSubPr>
                <m:ctrlPr>
                  <w:rPr>
                    <w:rFonts w:ascii="Cambria Math" w:hAnsi="Cambria Math"/>
                    <w:i/>
                  </w:rPr>
                </m:ctrlPr>
              </m:sSubPr>
              <m:e>
                <m:r>
                  <w:rPr>
                    <w:rFonts w:ascii="Cambria Math" w:hAnsi="Cambria Math"/>
                  </w:rPr>
                  <m:t>D</m:t>
                </m:r>
              </m:e>
              <m:sub>
                <m:r>
                  <w:rPr>
                    <w:rFonts w:ascii="Cambria Math" w:hAnsi="Cambria Math"/>
                  </w:rPr>
                  <m:t>x</m:t>
                </m:r>
                <m:r>
                  <w:rPr>
                    <w:rFonts w:ascii="Cambria Math"/>
                  </w:rPr>
                  <m:t>+</m:t>
                </m:r>
                <m:r>
                  <w:rPr>
                    <w:rFonts w:ascii="Cambria Math" w:hAnsi="Cambria Math"/>
                  </w:rPr>
                  <m:t>n</m:t>
                </m:r>
              </m:sub>
            </m:sSub>
          </m:num>
          <m:den>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x</m:t>
                </m:r>
                <m:r>
                  <w:rPr>
                    <w:rFonts w:ascii="Cambria Math"/>
                  </w:rPr>
                  <m:t>+</m:t>
                </m:r>
                <m:r>
                  <w:rPr>
                    <w:rFonts w:ascii="Cambria Math" w:hAnsi="Cambria Math"/>
                  </w:rPr>
                  <m:t>n</m:t>
                </m:r>
              </m:sub>
            </m:sSub>
          </m:den>
        </m:f>
      </m:oMath>
      <w:r w:rsidR="004712F0">
        <w:rPr>
          <w:rFonts w:eastAsiaTheme="minorEastAsia"/>
        </w:rPr>
        <w:t xml:space="preserve">  </w:t>
      </w:r>
      <w:r w:rsidR="00352985" w:rsidRPr="008A19BD">
        <w:rPr>
          <w:rFonts w:eastAsiaTheme="minorEastAsia"/>
        </w:rPr>
        <w:t xml:space="preserve">             </w:t>
      </w:r>
      <w:r w:rsidR="004712F0">
        <w:rPr>
          <w:rFonts w:eastAsiaTheme="minorEastAsia"/>
        </w:rPr>
        <w:t xml:space="preserve">                    (2.9)</w:t>
      </w:r>
    </w:p>
    <w:p w:rsidR="00352985" w:rsidRPr="008A19BD" w:rsidRDefault="00352985" w:rsidP="00D16DA8">
      <w:pPr>
        <w:rPr>
          <w:rFonts w:eastAsiaTheme="minorEastAsia"/>
        </w:rPr>
      </w:pPr>
      <w:r w:rsidRPr="008A19BD">
        <w:t xml:space="preserve">Penentuan nilai cadangan pada metode </w:t>
      </w:r>
      <w:r w:rsidRPr="008A19BD">
        <w:rPr>
          <w:i/>
        </w:rPr>
        <w:t>New Jersey</w:t>
      </w:r>
      <w:r w:rsidRPr="008A19BD">
        <w:t xml:space="preserve"> menggunakan premi bersih lanjutan disesuaikan. Misalkan </w:t>
      </w:r>
      <m:oMath>
        <m:sSub>
          <m:sSubPr>
            <m:ctrlPr>
              <w:rPr>
                <w:rFonts w:ascii="Cambria Math" w:hAnsi="Cambria Math"/>
                <w:i/>
              </w:rPr>
            </m:ctrlPr>
          </m:sSubPr>
          <m:e>
            <m:r>
              <w:rPr>
                <w:rFonts w:ascii="Cambria Math" w:hAnsi="Cambria Math"/>
              </w:rPr>
              <m:t>P</m:t>
            </m:r>
          </m:e>
          <m:sub>
            <m:acc>
              <m:accPr>
                <m:chr m:val="̅"/>
                <m:ctrlPr>
                  <w:rPr>
                    <w:rFonts w:ascii="Cambria Math" w:hAnsi="Cambria Math"/>
                    <w:i/>
                  </w:rPr>
                </m:ctrlPr>
              </m:accPr>
              <m:e>
                <m:r>
                  <w:rPr>
                    <w:rFonts w:ascii="Cambria Math" w:hAnsi="Cambria Math"/>
                  </w:rPr>
                  <m:t>x</m:t>
                </m:r>
                <m:r>
                  <w:rPr>
                    <w:rFonts w:ascii="Cambria Math"/>
                  </w:rPr>
                  <m:t>:</m:t>
                </m:r>
                <m:r>
                  <w:rPr>
                    <w:rFonts w:ascii="Cambria Math" w:hAnsi="Cambria Math"/>
                  </w:rPr>
                  <m:t>n</m:t>
                </m:r>
              </m:e>
            </m:acc>
            <m:r>
              <w:rPr>
                <w:rFonts w:ascii="Cambria Math"/>
              </w:rPr>
              <m:t>|</m:t>
            </m:r>
          </m:sub>
        </m:sSub>
      </m:oMath>
      <w:r w:rsidRPr="008A19BD">
        <w:rPr>
          <w:rFonts w:eastAsiaTheme="minorEastAsia"/>
        </w:rPr>
        <w:t xml:space="preserve"> menyatakan premi bersih untuk asuransi jiwa dwiguna. Premi tersebut akan diganti dengan </w:t>
      </w:r>
      <m:oMath>
        <m:r>
          <w:rPr>
            <w:rFonts w:ascii="Cambria Math" w:eastAsiaTheme="minorEastAsia" w:hAnsi="Cambria Math"/>
          </w:rPr>
          <m:t>α</m:t>
        </m:r>
      </m:oMath>
      <w:r w:rsidRPr="008A19BD">
        <w:rPr>
          <w:rFonts w:eastAsiaTheme="minorEastAsia"/>
        </w:rPr>
        <w:t xml:space="preserve"> pada tahun pertama dan diikuti oleh </w:t>
      </w:r>
      <m:oMath>
        <m:r>
          <w:rPr>
            <w:rFonts w:ascii="Cambria Math" w:eastAsiaTheme="minorEastAsia" w:hAnsi="Cambria Math"/>
          </w:rPr>
          <m:t>β</m:t>
        </m:r>
      </m:oMath>
      <w:r w:rsidRPr="008A19BD">
        <w:rPr>
          <w:rFonts w:eastAsiaTheme="minorEastAsia"/>
        </w:rPr>
        <w:t xml:space="preserve"> pada tahun-tahun berikutnya. </w:t>
      </w:r>
      <m:oMath>
        <m:r>
          <w:rPr>
            <w:rFonts w:ascii="Cambria Math" w:eastAsiaTheme="minorEastAsia" w:hAnsi="Cambria Math"/>
          </w:rPr>
          <m:t>α</m:t>
        </m:r>
      </m:oMath>
      <w:r w:rsidRPr="008A19BD">
        <w:rPr>
          <w:rFonts w:eastAsiaTheme="minorEastAsia"/>
        </w:rPr>
        <w:t xml:space="preserve"> dan </w:t>
      </w:r>
      <m:oMath>
        <m:r>
          <w:rPr>
            <w:rFonts w:ascii="Cambria Math" w:eastAsiaTheme="minorEastAsia" w:hAnsi="Cambria Math"/>
          </w:rPr>
          <m:t>β</m:t>
        </m:r>
      </m:oMath>
      <w:r w:rsidRPr="008A19BD">
        <w:rPr>
          <w:rFonts w:eastAsiaTheme="minorEastAsia"/>
        </w:rPr>
        <w:t xml:space="preserve"> adalah premi yang disesuaikan.</w:t>
      </w:r>
    </w:p>
    <w:p w:rsidR="00352985" w:rsidRPr="008A19BD" w:rsidRDefault="00352985" w:rsidP="00D16DA8">
      <w:pPr>
        <w:rPr>
          <w:rFonts w:eastAsiaTheme="minorEastAsia"/>
        </w:rPr>
      </w:pPr>
      <w:r w:rsidRPr="008A19BD">
        <w:rPr>
          <w:rFonts w:eastAsiaTheme="minorEastAsia"/>
        </w:rPr>
        <w:t xml:space="preserve">Penentuan cadangan disesuaikan dengan metode </w:t>
      </w:r>
      <w:r w:rsidRPr="008A19BD">
        <w:rPr>
          <w:rFonts w:eastAsiaTheme="minorEastAsia"/>
          <w:i/>
        </w:rPr>
        <w:t>New Jersey</w:t>
      </w:r>
      <w:r w:rsidRPr="008A19BD">
        <w:rPr>
          <w:rFonts w:eastAsiaTheme="minorEastAsia"/>
        </w:rPr>
        <w:t xml:space="preserve"> terdapat persyaratan yang harus terpenuhi yaitu polis yang mempunyai premi tahunan bersih lebih kecil dari premi tahunan bersih asuransi seumur hidup dengan 20 kali pembayaran premi dengan santunan dan usia yang sama tetapi premi kotornya melebihi 1,5</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x</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x</m:t>
                </m:r>
              </m:sub>
            </m:sSub>
          </m:den>
        </m:f>
      </m:oMath>
      <w:r w:rsidRPr="008A19BD">
        <w:rPr>
          <w:rFonts w:eastAsiaTheme="minorEastAsia"/>
        </w:rPr>
        <w:t>.</w:t>
      </w:r>
    </w:p>
    <w:p w:rsidR="00352985" w:rsidRPr="008A19BD" w:rsidRDefault="00352985" w:rsidP="00D16DA8">
      <w:pPr>
        <w:rPr>
          <w:rFonts w:eastAsiaTheme="minorEastAsia"/>
        </w:rPr>
      </w:pPr>
      <w:r w:rsidRPr="008A19BD">
        <w:rPr>
          <w:rFonts w:eastAsiaTheme="minorEastAsia"/>
        </w:rPr>
        <w:t xml:space="preserve">Metode </w:t>
      </w:r>
      <w:r w:rsidRPr="008A19BD">
        <w:rPr>
          <w:rFonts w:eastAsiaTheme="minorEastAsia"/>
          <w:i/>
        </w:rPr>
        <w:t>New Jersey</w:t>
      </w:r>
      <w:r w:rsidRPr="008A19BD">
        <w:rPr>
          <w:rFonts w:eastAsiaTheme="minorEastAsia"/>
        </w:rPr>
        <w:t xml:space="preserve"> menentukan bahwa cadangan akhir tahun pertama adalah nol. Sehingga secara matematis nilai tunai premi pada tahun pertama dapat dituliskan</w:t>
      </w:r>
    </w:p>
    <w:p w:rsidR="00352985" w:rsidRPr="008A19BD" w:rsidRDefault="00E01235" w:rsidP="00D16DA8">
      <w:pPr>
        <w:rPr>
          <w:rFonts w:eastAsiaTheme="minorEastAsia"/>
        </w:rPr>
      </w:pPr>
      <m:oMath>
        <m:sSup>
          <m:sSupPr>
            <m:ctrlPr>
              <w:rPr>
                <w:rFonts w:ascii="Cambria Math" w:hAnsi="Cambria Math"/>
                <w:i/>
              </w:rPr>
            </m:ctrlPr>
          </m:sSupPr>
          <m:e>
            <m:r>
              <w:rPr>
                <w:rFonts w:ascii="Cambria Math" w:hAnsi="Cambria Math"/>
              </w:rPr>
              <m:t>α</m:t>
            </m:r>
          </m:e>
          <m:sup>
            <m:r>
              <w:rPr>
                <w:rFonts w:ascii="Cambria Math" w:hAnsi="Cambria Math"/>
              </w:rPr>
              <m:t>J</m:t>
            </m:r>
          </m:sup>
        </m:s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x</m:t>
                </m:r>
              </m:sub>
            </m:sSub>
          </m:num>
          <m:den>
            <m:sSub>
              <m:sSubPr>
                <m:ctrlPr>
                  <w:rPr>
                    <w:rFonts w:ascii="Cambria Math" w:hAnsi="Cambria Math"/>
                    <w:i/>
                  </w:rPr>
                </m:ctrlPr>
              </m:sSubPr>
              <m:e>
                <m:r>
                  <w:rPr>
                    <w:rFonts w:ascii="Cambria Math" w:hAnsi="Cambria Math"/>
                  </w:rPr>
                  <m:t>D</m:t>
                </m:r>
              </m:e>
              <m:sub>
                <m:r>
                  <w:rPr>
                    <w:rFonts w:ascii="Cambria Math" w:hAnsi="Cambria Math"/>
                  </w:rPr>
                  <m:t>x</m:t>
                </m:r>
              </m:sub>
            </m:sSub>
          </m:den>
        </m:f>
      </m:oMath>
      <w:r w:rsidR="004712F0">
        <w:rPr>
          <w:rFonts w:eastAsiaTheme="minorEastAsia"/>
        </w:rPr>
        <w:t xml:space="preserve">                     </w:t>
      </w:r>
      <w:r w:rsidR="00352985" w:rsidRPr="008A19BD">
        <w:rPr>
          <w:rFonts w:eastAsiaTheme="minorEastAsia"/>
        </w:rPr>
        <w:t xml:space="preserve">              </w:t>
      </w:r>
      <w:r w:rsidR="004712F0">
        <w:rPr>
          <w:rFonts w:eastAsiaTheme="minorEastAsia"/>
        </w:rPr>
        <w:t xml:space="preserve">                   (2.10)</w:t>
      </w:r>
    </w:p>
    <w:p w:rsidR="00352985" w:rsidRPr="008A19BD" w:rsidRDefault="00352985" w:rsidP="00D16DA8">
      <w:pPr>
        <w:rPr>
          <w:rFonts w:eastAsiaTheme="minorEastAsia"/>
        </w:rPr>
      </w:pPr>
      <w:r w:rsidRPr="008A19BD">
        <w:t xml:space="preserve">Simbol </w:t>
      </w:r>
      <w:r w:rsidRPr="008A19BD">
        <w:rPr>
          <w:i/>
        </w:rPr>
        <w:t>J</w:t>
      </w:r>
      <w:r w:rsidRPr="008A19BD">
        <w:t xml:space="preserve"> menyatakan metode yang digunakan adalah metode </w:t>
      </w:r>
      <w:r w:rsidRPr="008A19BD">
        <w:rPr>
          <w:i/>
        </w:rPr>
        <w:t>New Jersey</w:t>
      </w:r>
      <w:r w:rsidRPr="008A19BD">
        <w:t xml:space="preserve">. Sehingga </w:t>
      </w:r>
      <m:oMath>
        <m:sSup>
          <m:sSupPr>
            <m:ctrlPr>
              <w:rPr>
                <w:rFonts w:ascii="Cambria Math" w:hAnsi="Cambria Math"/>
                <w:i/>
              </w:rPr>
            </m:ctrlPr>
          </m:sSupPr>
          <m:e>
            <m:r>
              <w:rPr>
                <w:rFonts w:ascii="Cambria Math" w:hAnsi="Cambria Math"/>
              </w:rPr>
              <m:t>β</m:t>
            </m:r>
          </m:e>
          <m:sup>
            <m:r>
              <w:rPr>
                <w:rFonts w:ascii="Cambria Math" w:hAnsi="Cambria Math"/>
              </w:rPr>
              <m:t>J</m:t>
            </m:r>
          </m:sup>
        </m:sSup>
      </m:oMath>
      <w:r w:rsidRPr="008A19BD">
        <w:rPr>
          <w:rFonts w:eastAsiaTheme="minorEastAsia"/>
        </w:rPr>
        <w:t xml:space="preserve"> dapat diperoleh sebagai berikut :</w:t>
      </w:r>
    </w:p>
    <w:p w:rsidR="00352985" w:rsidRPr="008A19BD" w:rsidRDefault="00E01235" w:rsidP="00D16DA8">
      <w:pPr>
        <w:rPr>
          <w:rFonts w:eastAsiaTheme="minorEastAsia"/>
        </w:rPr>
      </w:pPr>
      <m:oMath>
        <m:sSup>
          <m:sSupPr>
            <m:ctrlPr>
              <w:rPr>
                <w:rFonts w:ascii="Cambria Math" w:hAnsi="Cambria Math"/>
                <w:i/>
              </w:rPr>
            </m:ctrlPr>
          </m:sSupPr>
          <m:e>
            <m:r>
              <w:rPr>
                <w:rFonts w:ascii="Cambria Math" w:hAnsi="Cambria Math"/>
              </w:rPr>
              <m:t>β</m:t>
            </m:r>
          </m:e>
          <m:sup>
            <m:r>
              <w:rPr>
                <w:rFonts w:ascii="Cambria Math" w:hAnsi="Cambria Math"/>
              </w:rPr>
              <m:t>J</m:t>
            </m:r>
          </m:sup>
        </m:sSup>
        <m:r>
          <w:rPr>
            <w:rFonts w:ascii="Cambria Math"/>
          </w:rPr>
          <m:t>=</m:t>
        </m:r>
        <m:sSub>
          <m:sSubPr>
            <m:ctrlPr>
              <w:rPr>
                <w:rFonts w:ascii="Cambria Math" w:hAnsi="Cambria Math"/>
                <w:i/>
              </w:rPr>
            </m:ctrlPr>
          </m:sSubPr>
          <m:e>
            <m:r>
              <w:rPr>
                <w:rFonts w:ascii="Cambria Math" w:hAnsi="Cambria Math"/>
              </w:rPr>
              <m:t>P</m:t>
            </m:r>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rPr>
                  <m:t>x:</m:t>
                </m:r>
                <m:acc>
                  <m:accPr>
                    <m:chr m:val="̅"/>
                    <m:ctrlPr>
                      <w:rPr>
                        <w:rFonts w:ascii="Cambria Math" w:hAnsi="Cambria Math"/>
                        <w:i/>
                      </w:rPr>
                    </m:ctrlPr>
                  </m:accPr>
                  <m:e>
                    <m:r>
                      <w:rPr>
                        <w:rFonts w:ascii="Cambria Math"/>
                      </w:rPr>
                      <m:t>n</m:t>
                    </m:r>
                  </m:e>
                </m:acc>
                <m:r>
                  <w:rPr>
                    <w:rFonts w:asci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x</m:t>
                    </m:r>
                  </m:sub>
                </m:sSub>
              </m:num>
              <m:den>
                <m:sSub>
                  <m:sSubPr>
                    <m:ctrlPr>
                      <w:rPr>
                        <w:rFonts w:ascii="Cambria Math" w:hAnsi="Cambria Math"/>
                        <w:i/>
                      </w:rPr>
                    </m:ctrlPr>
                  </m:sSubPr>
                  <m:e>
                    <m:r>
                      <w:rPr>
                        <w:rFonts w:ascii="Cambria Math" w:hAnsi="Cambria Math"/>
                      </w:rPr>
                      <m:t>D</m:t>
                    </m:r>
                  </m:e>
                  <m:sub>
                    <m:r>
                      <w:rPr>
                        <w:rFonts w:ascii="Cambria Math" w:hAnsi="Cambria Math"/>
                      </w:rPr>
                      <m:t>x</m:t>
                    </m:r>
                  </m:sub>
                </m:sSub>
              </m:den>
            </m:f>
          </m:num>
          <m:den>
            <m:sSub>
              <m:sSubPr>
                <m:ctrlPr>
                  <w:rPr>
                    <w:rFonts w:ascii="Cambria Math" w:hAnsi="Cambria Math"/>
                    <w:i/>
                  </w:rPr>
                </m:ctrlPr>
              </m:sSubPr>
              <m:e>
                <m:r>
                  <w:rPr>
                    <w:rFonts w:ascii="Cambria Math" w:hAnsi="Cambria Math"/>
                  </w:rPr>
                  <m:t>a</m:t>
                </m:r>
              </m:e>
              <m:sub>
                <m:r>
                  <w:rPr>
                    <w:rFonts w:ascii="Cambria Math"/>
                  </w:rPr>
                  <m:t>x:</m:t>
                </m:r>
                <m:acc>
                  <m:accPr>
                    <m:chr m:val="̅"/>
                    <m:ctrlPr>
                      <w:rPr>
                        <w:rFonts w:ascii="Cambria Math" w:hAnsi="Cambria Math"/>
                        <w:i/>
                      </w:rPr>
                    </m:ctrlPr>
                  </m:accPr>
                  <m:e>
                    <m:r>
                      <w:rPr>
                        <w:rFonts w:ascii="Cambria Math"/>
                      </w:rPr>
                      <m:t>19</m:t>
                    </m:r>
                  </m:e>
                </m:acc>
                <m:r>
                  <w:rPr>
                    <w:rFonts w:ascii="Cambria Math"/>
                  </w:rPr>
                  <m:t>|</m:t>
                </m:r>
              </m:sub>
            </m:sSub>
          </m:den>
        </m:f>
      </m:oMath>
      <w:r w:rsidR="004712F0">
        <w:rPr>
          <w:rFonts w:eastAsiaTheme="minorEastAsia"/>
        </w:rPr>
        <w:t xml:space="preserve">                   </w:t>
      </w:r>
      <w:r w:rsidR="00352985" w:rsidRPr="008A19BD">
        <w:rPr>
          <w:rFonts w:eastAsiaTheme="minorEastAsia"/>
        </w:rPr>
        <w:t xml:space="preserve"> </w:t>
      </w:r>
      <w:r w:rsidR="004712F0">
        <w:rPr>
          <w:rFonts w:eastAsiaTheme="minorEastAsia"/>
        </w:rPr>
        <w:t xml:space="preserve">              (2.11)</w:t>
      </w:r>
    </w:p>
    <w:p w:rsidR="00352985" w:rsidRPr="008A19BD" w:rsidRDefault="00352985" w:rsidP="00D16DA8">
      <w:pPr>
        <w:rPr>
          <w:rFonts w:eastAsiaTheme="minorEastAsia"/>
        </w:rPr>
      </w:pPr>
      <w:r w:rsidRPr="008A19BD">
        <w:t xml:space="preserve">Berdasarkan rumus cadangan prospektif maka dapat disimpulkan bahwa nilai cadangan disesuaikan dengan metode </w:t>
      </w:r>
      <w:r w:rsidRPr="008A19BD">
        <w:rPr>
          <w:i/>
        </w:rPr>
        <w:t>New Jersey</w:t>
      </w:r>
      <w:r w:rsidRPr="008A19BD">
        <w:t xml:space="preserve"> </w:t>
      </w:r>
      <w:r w:rsidRPr="008A19BD">
        <w:lastRenderedPageBreak/>
        <w:t xml:space="preserve">berdasarkan metode prospektif untuk asuransi jiwa dwiguna secara umum adalah </w:t>
      </w:r>
    </w:p>
    <w:p w:rsidR="00352985" w:rsidRPr="008A19BD" w:rsidRDefault="00352985" w:rsidP="00D16DA8">
      <w:pPr>
        <w:rPr>
          <w:rFonts w:eastAsiaTheme="minorEastAsia"/>
        </w:rPr>
      </w:pPr>
      <w:r w:rsidRPr="008A19BD">
        <w:rPr>
          <w:rFonts w:eastAsiaTheme="minorEastAsia"/>
        </w:rPr>
        <w:t xml:space="preserve">  </w:t>
      </w:r>
      <m:oMath>
        <m:sPre>
          <m:sPrePr>
            <m:ctrlPr>
              <w:rPr>
                <w:rFonts w:ascii="Cambria Math" w:eastAsiaTheme="minorEastAsia" w:hAnsi="Cambria Math"/>
              </w:rPr>
            </m:ctrlPr>
          </m:sPrePr>
          <m:sub>
            <m:r>
              <w:rPr>
                <w:rFonts w:ascii="Cambria Math" w:eastAsiaTheme="minorEastAsia" w:hAnsi="Cambria Math"/>
              </w:rPr>
              <m:t>t</m:t>
            </m:r>
          </m:sub>
          <m:sup/>
          <m:e>
            <m:sSup>
              <m:sSupPr>
                <m:ctrlPr>
                  <w:rPr>
                    <w:rFonts w:ascii="Cambria Math" w:eastAsiaTheme="minorEastAsia" w:hAnsi="Cambria Math"/>
                  </w:rPr>
                </m:ctrlPr>
              </m:sSupPr>
              <m:e>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x</m:t>
                    </m:r>
                    <m:r>
                      <m:rPr>
                        <m:sty m:val="p"/>
                      </m:rPr>
                      <w:rPr>
                        <w:rFonts w:ascii="Cambria Math" w:eastAsiaTheme="minorEastAsia" w:hAnsi="Cambria Math"/>
                      </w:rPr>
                      <m:t>:</m:t>
                    </m:r>
                    <m:acc>
                      <m:accPr>
                        <m:chr m:val="̅"/>
                        <m:ctrlPr>
                          <w:rPr>
                            <w:rFonts w:ascii="Cambria Math" w:eastAsiaTheme="minorEastAsia" w:hAnsi="Cambria Math"/>
                          </w:rPr>
                        </m:ctrlPr>
                      </m:accPr>
                      <m:e>
                        <m:r>
                          <w:rPr>
                            <w:rFonts w:ascii="Cambria Math" w:eastAsiaTheme="minorEastAsia" w:hAnsi="Cambria Math"/>
                          </w:rPr>
                          <m:t>n</m:t>
                        </m:r>
                      </m:e>
                    </m:acc>
                    <m:r>
                      <m:rPr>
                        <m:sty m:val="p"/>
                      </m:rPr>
                      <w:rPr>
                        <w:rFonts w:ascii="Cambria Math" w:eastAsiaTheme="minorEastAsia" w:hAnsi="Cambria Math"/>
                      </w:rPr>
                      <m:t>|</m:t>
                    </m:r>
                  </m:sub>
                </m:sSub>
              </m:e>
              <m:sup>
                <m:r>
                  <w:rPr>
                    <w:rFonts w:ascii="Cambria Math" w:eastAsiaTheme="minorEastAsia" w:hAnsi="Cambria Math"/>
                  </w:rPr>
                  <m:t>J</m:t>
                </m:r>
              </m:sup>
            </m:sSup>
          </m:e>
        </m:sPre>
        <m:r>
          <m:rPr>
            <m:sty m:val="p"/>
          </m:rPr>
          <w:rPr>
            <w:rFonts w:ascii="Cambria Math" w:eastAsiaTheme="minorEastAsia" w:hAnsi="Cambria Math"/>
          </w:rPr>
          <m:t>=</m:t>
        </m:r>
        <m:r>
          <w:rPr>
            <w:rFonts w:ascii="Cambria Math" w:eastAsiaTheme="minorEastAsia" w:hAnsi="Cambria Math"/>
          </w:rPr>
          <m:t>S</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acc>
              <m:accPr>
                <m:chr m:val="̅"/>
                <m:ctrlPr>
                  <w:rPr>
                    <w:rFonts w:ascii="Cambria Math" w:eastAsiaTheme="minorEastAsia" w:hAnsi="Cambria Math"/>
                  </w:rPr>
                </m:ctrlPr>
              </m:accPr>
              <m:e>
                <m:r>
                  <w:rPr>
                    <w:rFonts w:ascii="Cambria Math" w:eastAsiaTheme="minorEastAsia" w:hAnsi="Cambria Math"/>
                  </w:rPr>
                  <m:t>n</m:t>
                </m:r>
                <m:r>
                  <m:rPr>
                    <m:sty m:val="p"/>
                  </m:rPr>
                  <w:rPr>
                    <w:rFonts w:ascii="Cambria Math" w:eastAsiaTheme="minorEastAsia" w:hAnsi="Cambria Math"/>
                  </w:rPr>
                  <m:t>-</m:t>
                </m:r>
                <m:r>
                  <w:rPr>
                    <w:rFonts w:ascii="Cambria Math" w:eastAsiaTheme="minorEastAsia" w:hAnsi="Cambria Math"/>
                  </w:rPr>
                  <m:t>t</m:t>
                </m:r>
              </m:e>
            </m:acc>
            <m:r>
              <m:rPr>
                <m:sty m:val="p"/>
              </m:rPr>
              <w:rPr>
                <w:rFonts w:ascii="Cambria Math" w:eastAsiaTheme="minorEastAsia" w:hAnsi="Cambria Math"/>
              </w:rPr>
              <m:t>|</m:t>
            </m:r>
          </m:sub>
        </m:sSub>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β</m:t>
            </m:r>
          </m:e>
          <m:sup>
            <m:r>
              <w:rPr>
                <w:rFonts w:ascii="Cambria Math" w:eastAsiaTheme="minorEastAsia" w:hAnsi="Cambria Math"/>
              </w:rPr>
              <m:t>J</m:t>
            </m:r>
          </m:sup>
        </m:sSup>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m:rPr>
                    <m:sty m:val="p"/>
                  </m:rPr>
                  <w:rPr>
                    <w:rFonts w:ascii="Cambria Math" w:hAnsi="Cambria Math"/>
                  </w:rPr>
                  <m:t>20-</m:t>
                </m:r>
                <m:r>
                  <w:rPr>
                    <w:rFonts w:ascii="Cambria Math" w:hAnsi="Cambria Math"/>
                  </w:rPr>
                  <m:t>t</m:t>
                </m:r>
              </m:e>
            </m:acc>
            <m:r>
              <m:rPr>
                <m:sty m:val="p"/>
              </m:rPr>
              <w:rPr>
                <w:rFonts w:ascii="Cambria Math" w:hAnsi="Cambria Math"/>
              </w:rPr>
              <m:t>|</m:t>
            </m:r>
          </m:sub>
        </m:sSub>
        <m:r>
          <m:rPr>
            <m:sty m:val="p"/>
          </m:rPr>
          <w:rPr>
            <w:rFonts w:ascii="Cambria Math" w:hAnsi="Cambria Math"/>
          </w:rPr>
          <m:t>-</m:t>
        </m:r>
        <m:r>
          <m:rPr>
            <m:sty m:val="p"/>
          </m:rPr>
          <w:rPr>
            <w:rFonts w:ascii="Cambria Math" w:eastAsiaTheme="minorEastAsia" w:hAnsi="Cambria Math"/>
          </w:rPr>
          <m:t xml:space="preserve"> </m:t>
        </m:r>
        <m:sSub>
          <m:sSubPr>
            <m:ctrlPr>
              <w:rPr>
                <w:rFonts w:ascii="Cambria Math" w:hAnsi="Cambria Math"/>
              </w:rPr>
            </m:ctrlPr>
          </m:sSubPr>
          <m:e>
            <m:r>
              <w:rPr>
                <w:rFonts w:ascii="Cambria Math" w:hAnsi="Cambria Math"/>
              </w:rPr>
              <m:t>P</m:t>
            </m:r>
          </m:e>
          <m:sub>
            <m:r>
              <w:rPr>
                <w:rFonts w:ascii="Cambria Math" w:hAnsi="Cambria Math"/>
              </w:rPr>
              <m:t>x</m:t>
            </m:r>
            <m:r>
              <m:rPr>
                <m:sty m:val="p"/>
              </m:rPr>
              <w:rPr>
                <w:rFonts w:ascii="Cambria Math" w:hAnsi="Cambria Math"/>
              </w:rPr>
              <m:t>:</m:t>
            </m:r>
            <m:acc>
              <m:accPr>
                <m:chr m:val="̅"/>
                <m:ctrlPr>
                  <w:rPr>
                    <w:rFonts w:ascii="Cambria Math" w:hAnsi="Cambria Math"/>
                  </w:rPr>
                </m:ctrlPr>
              </m:accPr>
              <m:e>
                <m:r>
                  <w:rPr>
                    <w:rFonts w:ascii="Cambria Math" w:hAnsi="Cambria Math"/>
                  </w:rPr>
                  <m:t>n</m:t>
                </m:r>
              </m:e>
            </m:acc>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w:rPr>
                    <w:rFonts w:ascii="Cambria Math" w:hAnsi="Cambria Math"/>
                  </w:rPr>
                  <m:t>n</m:t>
                </m:r>
                <m:r>
                  <m:rPr>
                    <m:sty m:val="p"/>
                  </m:rPr>
                  <w:rPr>
                    <w:rFonts w:ascii="Cambria Math" w:hAnsi="Cambria Math"/>
                  </w:rPr>
                  <m:t>-</m:t>
                </m:r>
                <m:r>
                  <w:rPr>
                    <w:rFonts w:ascii="Cambria Math" w:hAnsi="Cambria Math"/>
                  </w:rPr>
                  <m:t>t</m:t>
                </m:r>
              </m:e>
            </m:acc>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m:rPr>
                    <m:sty m:val="p"/>
                  </m:rPr>
                  <w:rPr>
                    <w:rFonts w:ascii="Cambria Math" w:hAnsi="Cambria Math"/>
                  </w:rPr>
                  <m:t>20-</m:t>
                </m:r>
                <m:r>
                  <w:rPr>
                    <w:rFonts w:ascii="Cambria Math" w:hAnsi="Cambria Math"/>
                  </w:rPr>
                  <m:t>t</m:t>
                </m:r>
              </m:e>
            </m:acc>
            <m:r>
              <m:rPr>
                <m:sty m:val="p"/>
              </m:rPr>
              <w:rPr>
                <w:rFonts w:ascii="Cambria Math" w:hAnsi="Cambria Math"/>
              </w:rPr>
              <m:t>|</m:t>
            </m:r>
          </m:sub>
        </m:sSub>
        <m:r>
          <m:rPr>
            <m:sty m:val="p"/>
          </m:rPr>
          <w:rPr>
            <w:rFonts w:ascii="Cambria Math" w:hAnsi="Cambria Math"/>
          </w:rPr>
          <m:t xml:space="preserve"> </m:t>
        </m:r>
      </m:oMath>
    </w:p>
    <w:p w:rsidR="009554CB" w:rsidRPr="008A19BD" w:rsidRDefault="00352985" w:rsidP="00D16DA8">
      <m:oMath>
        <m:r>
          <m:rPr>
            <m:sty m:val="p"/>
          </m:rPr>
          <w:rPr>
            <w:rFonts w:ascii="Cambria Math" w:hAnsi="Cambria Math"/>
          </w:rPr>
          <m:t xml:space="preserve">= </m:t>
        </m:r>
        <m:r>
          <w:rPr>
            <w:rFonts w:ascii="Cambria Math" w:hAnsi="Cambria Math"/>
          </w:rPr>
          <m:t>S</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acc>
              <m:accPr>
                <m:chr m:val="̅"/>
                <m:ctrlPr>
                  <w:rPr>
                    <w:rFonts w:ascii="Cambria Math" w:eastAsiaTheme="minorEastAsia" w:hAnsi="Cambria Math"/>
                  </w:rPr>
                </m:ctrlPr>
              </m:accPr>
              <m:e>
                <m:r>
                  <w:rPr>
                    <w:rFonts w:ascii="Cambria Math" w:eastAsiaTheme="minorEastAsia" w:hAnsi="Cambria Math"/>
                  </w:rPr>
                  <m:t>n</m:t>
                </m:r>
                <m:r>
                  <m:rPr>
                    <m:sty m:val="p"/>
                  </m:rPr>
                  <w:rPr>
                    <w:rFonts w:ascii="Cambria Math" w:eastAsiaTheme="minorEastAsia" w:hAnsi="Cambria Math"/>
                  </w:rPr>
                  <m:t>-</m:t>
                </m:r>
                <m:r>
                  <w:rPr>
                    <w:rFonts w:ascii="Cambria Math" w:eastAsiaTheme="minorEastAsia" w:hAnsi="Cambria Math"/>
                  </w:rPr>
                  <m:t>t</m:t>
                </m:r>
              </m:e>
            </m:acc>
            <m:r>
              <m:rPr>
                <m:sty m:val="p"/>
              </m:rPr>
              <w:rPr>
                <w:rFonts w:ascii="Cambria Math" w:eastAsiaTheme="minorEastAsia" w:hAnsi="Cambria Math"/>
              </w:rPr>
              <m: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β</m:t>
                </m:r>
              </m:e>
              <m:sup>
                <m:r>
                  <w:rPr>
                    <w:rFonts w:ascii="Cambria Math" w:hAnsi="Cambria Math"/>
                  </w:rPr>
                  <m:t>J</m:t>
                </m:r>
              </m:sup>
            </m:sSup>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r>
                  <m:rPr>
                    <m:sty m:val="p"/>
                  </m:rPr>
                  <w:rPr>
                    <w:rFonts w:ascii="Cambria Math" w:hAnsi="Cambria Math"/>
                  </w:rPr>
                  <m:t>:</m:t>
                </m:r>
                <m:acc>
                  <m:accPr>
                    <m:chr m:val="̅"/>
                    <m:ctrlPr>
                      <w:rPr>
                        <w:rFonts w:ascii="Cambria Math" w:hAnsi="Cambria Math"/>
                      </w:rPr>
                    </m:ctrlPr>
                  </m:accPr>
                  <m:e>
                    <m:r>
                      <w:rPr>
                        <w:rFonts w:ascii="Cambria Math" w:hAnsi="Cambria Math"/>
                      </w:rPr>
                      <m:t>n</m:t>
                    </m:r>
                  </m:e>
                </m:acc>
                <m:r>
                  <m:rPr>
                    <m:sty m:val="p"/>
                  </m:rPr>
                  <w:rPr>
                    <w:rFonts w:ascii="Cambria Math" w:hAnsi="Cambria Math"/>
                  </w:rPr>
                  <m:t>|</m:t>
                </m:r>
              </m:sub>
            </m:sSub>
          </m:e>
        </m:d>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m:rPr>
                    <m:sty m:val="p"/>
                  </m:rPr>
                  <w:rPr>
                    <w:rFonts w:ascii="Cambria Math" w:hAnsi="Cambria Math"/>
                  </w:rPr>
                  <m:t>20-</m:t>
                </m:r>
                <m:r>
                  <w:rPr>
                    <w:rFonts w:ascii="Cambria Math" w:hAnsi="Cambria Math"/>
                  </w:rPr>
                  <m:t>t</m:t>
                </m:r>
              </m:e>
            </m:acc>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r>
              <m:rPr>
                <m:sty m:val="p"/>
              </m:rPr>
              <w:rPr>
                <w:rFonts w:ascii="Cambria Math" w:hAnsi="Cambria Math"/>
              </w:rPr>
              <m:t>:</m:t>
            </m:r>
            <m:acc>
              <m:accPr>
                <m:chr m:val="̅"/>
                <m:ctrlPr>
                  <w:rPr>
                    <w:rFonts w:ascii="Cambria Math" w:hAnsi="Cambria Math"/>
                  </w:rPr>
                </m:ctrlPr>
              </m:accPr>
              <m:e>
                <m:r>
                  <w:rPr>
                    <w:rFonts w:ascii="Cambria Math" w:hAnsi="Cambria Math"/>
                  </w:rPr>
                  <m:t>n</m:t>
                </m:r>
              </m:e>
            </m:acc>
            <m:r>
              <m:rPr>
                <m:sty m:val="p"/>
              </m:rPr>
              <w:rPr>
                <w:rFonts w:ascii="Cambria Math" w:hAnsi="Cambria Math"/>
              </w:rPr>
              <m:t>|</m:t>
            </m:r>
          </m:sub>
        </m:sSub>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w:rPr>
                    <w:rFonts w:ascii="Cambria Math" w:hAnsi="Cambria Math"/>
                  </w:rPr>
                  <m:t>n</m:t>
                </m:r>
                <m:r>
                  <m:rPr>
                    <m:sty m:val="p"/>
                  </m:rPr>
                  <w:rPr>
                    <w:rFonts w:ascii="Cambria Math" w:hAnsi="Cambria Math"/>
                  </w:rPr>
                  <m:t>-</m:t>
                </m:r>
                <m:r>
                  <w:rPr>
                    <w:rFonts w:ascii="Cambria Math" w:hAnsi="Cambria Math"/>
                  </w:rPr>
                  <m:t>t</m:t>
                </m:r>
              </m:e>
            </m:acc>
            <m:r>
              <m:rPr>
                <m:sty m:val="p"/>
              </m:rPr>
              <w:rPr>
                <w:rFonts w:ascii="Cambria Math" w:hAnsi="Cambria Math"/>
              </w:rPr>
              <m:t>|</m:t>
            </m:r>
          </m:sub>
        </m:sSub>
      </m:oMath>
      <w:r w:rsidR="009554CB" w:rsidRPr="008A19BD">
        <w:rPr>
          <w:rFonts w:eastAsiaTheme="minorEastAsia"/>
        </w:rPr>
        <w:t xml:space="preserve">        </w:t>
      </w:r>
      <w:r w:rsidR="000D096B">
        <w:rPr>
          <w:rFonts w:eastAsiaTheme="minorEastAsia"/>
        </w:rPr>
        <w:t xml:space="preserve">                                      (2.12)</w:t>
      </w:r>
    </w:p>
    <w:p w:rsidR="009D76DA" w:rsidRPr="008A19BD" w:rsidRDefault="00352985" w:rsidP="00D16DA8">
      <w:r w:rsidRPr="008A19BD">
        <w:t xml:space="preserve">Rumus cadangan disesuaikan dengan metode New Jersey  berdasarkan metode prospektif pada persamaan diatas mendapat penyesuaian karena premi yang akan datang terdiri dari dua macam, yaitu </w:t>
      </w:r>
      <m:oMath>
        <m:sSup>
          <m:sSupPr>
            <m:ctrlPr>
              <w:rPr>
                <w:rFonts w:ascii="Cambria Math" w:hAnsi="Cambria Math"/>
              </w:rPr>
            </m:ctrlPr>
          </m:sSupPr>
          <m:e>
            <m:r>
              <w:rPr>
                <w:rFonts w:ascii="Cambria Math" w:hAnsi="Cambria Math"/>
              </w:rPr>
              <m:t>β</m:t>
            </m:r>
          </m:e>
          <m:sup>
            <m:r>
              <w:rPr>
                <w:rFonts w:ascii="Cambria Math" w:hAnsi="Cambria Math"/>
              </w:rPr>
              <m:t>J</m:t>
            </m:r>
          </m:sup>
        </m:sSup>
      </m:oMath>
      <w:r w:rsidRPr="008A19BD">
        <w:rPr>
          <w:rFonts w:eastAsiaTheme="minorEastAsia"/>
        </w:rPr>
        <w:t xml:space="preserve"> sampai tahun ke 20 dan P sisa tahun berikutnya</w:t>
      </w:r>
      <w:r w:rsidR="002A6C64">
        <w:rPr>
          <w:rFonts w:eastAsiaTheme="minorEastAsia"/>
        </w:rPr>
        <w:t>[4</w:t>
      </w:r>
      <w:r w:rsidR="007E36C2">
        <w:rPr>
          <w:rFonts w:eastAsiaTheme="minorEastAsia"/>
        </w:rPr>
        <w:t>]</w:t>
      </w:r>
      <w:r w:rsidRPr="008A19BD">
        <w:rPr>
          <w:rFonts w:eastAsiaTheme="minorEastAsia"/>
        </w:rPr>
        <w:t>.</w:t>
      </w:r>
    </w:p>
    <w:p w:rsidR="00CD6743" w:rsidRPr="008A19BD" w:rsidRDefault="00CD6743" w:rsidP="00D66D2D">
      <w:pPr>
        <w:pStyle w:val="Heading1"/>
      </w:pPr>
      <w:r w:rsidRPr="00D66D2D">
        <w:t>METODOLOGI</w:t>
      </w:r>
    </w:p>
    <w:p w:rsidR="002941F3" w:rsidRPr="008A19BD" w:rsidRDefault="00A25229" w:rsidP="00D16DA8">
      <w:pPr>
        <w:rPr>
          <w:lang w:val="id-ID"/>
        </w:rPr>
      </w:pPr>
      <w:r w:rsidRPr="008A19BD">
        <w:t>Jenis data yang digunakan adalah data kuantitatif. Sumber data yang digunakan pada penelitian ini berupa data sekunder yaitu Tabel Mortalita Indonesia (TMI) 2011 yang diperoleh dari persatuan aktuaris indonesia. Tabel Mortalita yang digunakan di Indonesia sangat beragam, akan tetapi sebaiknya menggunakan Tabel yang berasal dari tahun terbaru, dimana hal ini disebabkan oleh perkembangan rasio harapan hidup sebanding dengan perkembangan teknologi dan ilmu kedokteran sehingga mempengaruhi presentase peluang kematian</w:t>
      </w:r>
      <w:r>
        <w:t>.</w:t>
      </w:r>
    </w:p>
    <w:p w:rsidR="00CD6743" w:rsidRPr="008A19BD" w:rsidRDefault="00CD6743" w:rsidP="00D66D2D">
      <w:pPr>
        <w:pStyle w:val="Heading3"/>
      </w:pPr>
      <w:r w:rsidRPr="008A19BD">
        <w:t>Prosedur Analisis</w:t>
      </w:r>
    </w:p>
    <w:p w:rsidR="00337176" w:rsidRPr="008A19BD" w:rsidRDefault="00337176" w:rsidP="00D16DA8">
      <w:pPr>
        <w:rPr>
          <w:b/>
          <w:i/>
        </w:rPr>
      </w:pPr>
      <w:r w:rsidRPr="008A19BD">
        <w:t>Langkah-langkah yang harus dilakukan adalah :</w:t>
      </w:r>
    </w:p>
    <w:p w:rsidR="000D096B" w:rsidRDefault="00337176" w:rsidP="00D16DA8">
      <w:pPr>
        <w:pStyle w:val="ListParagraph"/>
        <w:numPr>
          <w:ilvl w:val="0"/>
          <w:numId w:val="31"/>
        </w:numPr>
        <w:ind w:left="426" w:hanging="426"/>
      </w:pPr>
      <w:r w:rsidRPr="008A19BD">
        <w:t xml:space="preserve">Mengetahui usia pemegang polis (tertanggung) </w:t>
      </w:r>
      <w:r w:rsidRPr="000D096B">
        <w:rPr>
          <w:i/>
        </w:rPr>
        <w:t xml:space="preserve">x </w:t>
      </w:r>
      <w:r w:rsidRPr="008A19BD">
        <w:t xml:space="preserve">tahun dan </w:t>
      </w:r>
      <w:r w:rsidRPr="000D096B">
        <w:rPr>
          <w:i/>
        </w:rPr>
        <w:t xml:space="preserve">n </w:t>
      </w:r>
      <w:r w:rsidRPr="008A19BD">
        <w:t>jangka waktu pembayaran.</w:t>
      </w:r>
    </w:p>
    <w:p w:rsidR="000D096B" w:rsidRDefault="00337176" w:rsidP="00D16DA8">
      <w:pPr>
        <w:pStyle w:val="ListParagraph"/>
        <w:numPr>
          <w:ilvl w:val="0"/>
          <w:numId w:val="31"/>
        </w:numPr>
        <w:ind w:left="426" w:hanging="426"/>
      </w:pPr>
      <w:r w:rsidRPr="008A19BD">
        <w:t xml:space="preserve">Mengasumsikan tingkat suku bunga, besar santunan dan table mortalita yang digunakan </w:t>
      </w:r>
    </w:p>
    <w:p w:rsidR="000D096B" w:rsidRDefault="00337176" w:rsidP="00D16DA8">
      <w:pPr>
        <w:pStyle w:val="ListParagraph"/>
        <w:numPr>
          <w:ilvl w:val="0"/>
          <w:numId w:val="31"/>
        </w:numPr>
        <w:ind w:left="426" w:hanging="426"/>
      </w:pPr>
      <w:r w:rsidRPr="008A19BD">
        <w:t>Menghitung anuitas awal berjangka</w:t>
      </w:r>
    </w:p>
    <w:p w:rsidR="000D096B" w:rsidRDefault="00337176" w:rsidP="00D16DA8">
      <w:pPr>
        <w:pStyle w:val="ListParagraph"/>
        <w:numPr>
          <w:ilvl w:val="0"/>
          <w:numId w:val="31"/>
        </w:numPr>
        <w:ind w:left="426" w:hanging="426"/>
      </w:pPr>
      <w:r w:rsidRPr="008A19BD">
        <w:t>Menghitung  premi bersih tunggal asuransi jiwa dwiguna</w:t>
      </w:r>
    </w:p>
    <w:p w:rsidR="000D096B" w:rsidRDefault="00337176" w:rsidP="00D16DA8">
      <w:pPr>
        <w:pStyle w:val="ListParagraph"/>
        <w:numPr>
          <w:ilvl w:val="0"/>
          <w:numId w:val="31"/>
        </w:numPr>
        <w:ind w:left="426" w:hanging="426"/>
      </w:pPr>
      <w:r w:rsidRPr="008A19BD">
        <w:t>Menghitung premi bersih tahunan asuransi jiwa dwiguna</w:t>
      </w:r>
    </w:p>
    <w:p w:rsidR="000D096B" w:rsidRDefault="00337176" w:rsidP="00D16DA8">
      <w:pPr>
        <w:pStyle w:val="ListParagraph"/>
        <w:numPr>
          <w:ilvl w:val="0"/>
          <w:numId w:val="31"/>
        </w:numPr>
        <w:ind w:left="426" w:hanging="426"/>
      </w:pPr>
      <w:r w:rsidRPr="008A19BD">
        <w:t>Menghitung nilai premi pada tahun pertama</w:t>
      </w:r>
    </w:p>
    <w:p w:rsidR="000D096B" w:rsidRDefault="00337176" w:rsidP="00D16DA8">
      <w:pPr>
        <w:pStyle w:val="ListParagraph"/>
        <w:numPr>
          <w:ilvl w:val="0"/>
          <w:numId w:val="31"/>
        </w:numPr>
        <w:ind w:left="426" w:hanging="426"/>
      </w:pPr>
      <w:r w:rsidRPr="008A19BD">
        <w:t>Menghitung besarnya premi bersih untuk tahun ke-2 sampai dengan tahun ke-20</w:t>
      </w:r>
    </w:p>
    <w:p w:rsidR="000D096B" w:rsidRDefault="00337176" w:rsidP="00D16DA8">
      <w:pPr>
        <w:pStyle w:val="ListParagraph"/>
        <w:numPr>
          <w:ilvl w:val="0"/>
          <w:numId w:val="31"/>
        </w:numPr>
        <w:ind w:left="426" w:hanging="426"/>
      </w:pPr>
      <w:r w:rsidRPr="008A19BD">
        <w:t xml:space="preserve">Menghitung cadangan premi modifikasi dengan metode </w:t>
      </w:r>
      <w:r w:rsidRPr="000D096B">
        <w:rPr>
          <w:i/>
        </w:rPr>
        <w:t xml:space="preserve">New Jersey </w:t>
      </w:r>
      <w:r w:rsidRPr="008A19BD">
        <w:t xml:space="preserve"> pada akhir tahun ke-</w:t>
      </w:r>
      <w:r w:rsidRPr="000D096B">
        <w:rPr>
          <w:i/>
        </w:rPr>
        <w:t>t</w:t>
      </w:r>
      <w:r w:rsidRPr="008A19BD">
        <w:t xml:space="preserve"> untuk peserta asuransi yang berusia </w:t>
      </w:r>
      <w:r w:rsidRPr="000D096B">
        <w:rPr>
          <w:i/>
        </w:rPr>
        <w:t xml:space="preserve">x </w:t>
      </w:r>
      <w:r w:rsidRPr="008A19BD">
        <w:t xml:space="preserve">tahun dengan jangka waktu pertanggungan selama </w:t>
      </w:r>
      <w:r w:rsidRPr="000D096B">
        <w:rPr>
          <w:i/>
        </w:rPr>
        <w:t>n</w:t>
      </w:r>
      <w:r w:rsidRPr="008A19BD">
        <w:t xml:space="preserve"> tahun </w:t>
      </w:r>
    </w:p>
    <w:p w:rsidR="002941F3" w:rsidRPr="008A19BD" w:rsidRDefault="00337176" w:rsidP="00D16DA8">
      <w:pPr>
        <w:pStyle w:val="ListParagraph"/>
        <w:numPr>
          <w:ilvl w:val="0"/>
          <w:numId w:val="31"/>
        </w:numPr>
        <w:ind w:left="426" w:hanging="426"/>
      </w:pPr>
      <w:r w:rsidRPr="008A19BD">
        <w:lastRenderedPageBreak/>
        <w:t>Diperoleh nilai cadangan premi secara berurutan.</w:t>
      </w:r>
    </w:p>
    <w:p w:rsidR="00CD6743" w:rsidRDefault="00CD6743" w:rsidP="00D66D2D">
      <w:pPr>
        <w:pStyle w:val="Heading1"/>
      </w:pPr>
      <w:r w:rsidRPr="00D66D2D">
        <w:t>PEMBAHASAN</w:t>
      </w:r>
    </w:p>
    <w:p w:rsidR="00A25229" w:rsidRPr="00A25229" w:rsidRDefault="00A25229" w:rsidP="00D16DA8">
      <w:r>
        <w:t>Dalam menghitung cadangan premi memerlukan tabel mortalita TMI 2011 dan tingkat suku bunga 4.25%. Misalkan data peserta asuransi dengan usia 25,30, 35,40 dan 45 tahun yang tertera pada Tabel 4.1 sebagai berikut:</w:t>
      </w:r>
    </w:p>
    <w:p w:rsidR="000C4709" w:rsidRPr="008A19BD" w:rsidRDefault="000C4709" w:rsidP="00D16DA8">
      <w:pPr>
        <w:rPr>
          <w:sz w:val="22"/>
        </w:rPr>
      </w:pPr>
      <w:r w:rsidRPr="008A19BD">
        <w:rPr>
          <w:sz w:val="22"/>
        </w:rPr>
        <w:t>Tabel 4.1 Data Peserta Asuransi</w:t>
      </w:r>
    </w:p>
    <w:tbl>
      <w:tblPr>
        <w:tblStyle w:val="TableGrid"/>
        <w:tblW w:w="0" w:type="auto"/>
        <w:tblInd w:w="108" w:type="dxa"/>
        <w:tblLook w:val="04A0"/>
      </w:tblPr>
      <w:tblGrid>
        <w:gridCol w:w="904"/>
        <w:gridCol w:w="1523"/>
        <w:gridCol w:w="808"/>
        <w:gridCol w:w="1551"/>
      </w:tblGrid>
      <w:tr w:rsidR="000C4709" w:rsidRPr="008A19BD" w:rsidTr="000C4709">
        <w:tc>
          <w:tcPr>
            <w:tcW w:w="904" w:type="dxa"/>
          </w:tcPr>
          <w:p w:rsidR="000C4709" w:rsidRPr="008A19BD" w:rsidRDefault="000C4709" w:rsidP="00A25229">
            <w:pPr>
              <w:spacing w:before="120" w:after="120"/>
              <w:jc w:val="center"/>
            </w:pPr>
            <w:r w:rsidRPr="008A19BD">
              <w:t>Usia (x)</w:t>
            </w:r>
          </w:p>
        </w:tc>
        <w:tc>
          <w:tcPr>
            <w:tcW w:w="1523" w:type="dxa"/>
          </w:tcPr>
          <w:p w:rsidR="000C4709" w:rsidRPr="008A19BD" w:rsidRDefault="000C4709" w:rsidP="00A25229">
            <w:pPr>
              <w:spacing w:before="120" w:after="120"/>
              <w:jc w:val="center"/>
            </w:pPr>
            <w:r w:rsidRPr="008A19BD">
              <w:t>Besar Santunan</w:t>
            </w:r>
          </w:p>
        </w:tc>
        <w:tc>
          <w:tcPr>
            <w:tcW w:w="808" w:type="dxa"/>
          </w:tcPr>
          <w:p w:rsidR="000C4709" w:rsidRPr="008A19BD" w:rsidRDefault="000C4709" w:rsidP="00A25229">
            <w:pPr>
              <w:spacing w:before="120" w:after="120"/>
              <w:jc w:val="center"/>
            </w:pPr>
            <w:r w:rsidRPr="008A19BD">
              <w:t>Bunga (i)</w:t>
            </w:r>
          </w:p>
        </w:tc>
        <w:tc>
          <w:tcPr>
            <w:tcW w:w="1551" w:type="dxa"/>
          </w:tcPr>
          <w:p w:rsidR="000C4709" w:rsidRPr="008A19BD" w:rsidRDefault="000C4709" w:rsidP="00A25229">
            <w:pPr>
              <w:spacing w:before="120" w:after="120"/>
              <w:jc w:val="center"/>
            </w:pPr>
            <w:r w:rsidRPr="008A19BD">
              <w:t>Waktu Pertanggungan (n)</w:t>
            </w:r>
          </w:p>
        </w:tc>
      </w:tr>
      <w:tr w:rsidR="000C4709" w:rsidRPr="008A19BD" w:rsidTr="000C4709">
        <w:tc>
          <w:tcPr>
            <w:tcW w:w="904" w:type="dxa"/>
          </w:tcPr>
          <w:p w:rsidR="000C4709" w:rsidRPr="008A19BD" w:rsidRDefault="000C4709" w:rsidP="00A25229">
            <w:pPr>
              <w:spacing w:before="120" w:after="120"/>
              <w:jc w:val="center"/>
            </w:pPr>
            <w:r w:rsidRPr="008A19BD">
              <w:t>25</w:t>
            </w:r>
          </w:p>
        </w:tc>
        <w:tc>
          <w:tcPr>
            <w:tcW w:w="1523" w:type="dxa"/>
            <w:vMerge w:val="restart"/>
            <w:vAlign w:val="center"/>
          </w:tcPr>
          <w:p w:rsidR="000C4709" w:rsidRPr="008A19BD" w:rsidRDefault="000C4709" w:rsidP="00A25229">
            <w:pPr>
              <w:spacing w:before="120" w:after="120"/>
              <w:jc w:val="center"/>
            </w:pPr>
            <w:r w:rsidRPr="008A19BD">
              <w:t>Rp.10.000.000</w:t>
            </w:r>
          </w:p>
        </w:tc>
        <w:tc>
          <w:tcPr>
            <w:tcW w:w="808" w:type="dxa"/>
            <w:vMerge w:val="restart"/>
            <w:vAlign w:val="center"/>
          </w:tcPr>
          <w:p w:rsidR="000C4709" w:rsidRPr="008A19BD" w:rsidRDefault="000C4709" w:rsidP="00A25229">
            <w:pPr>
              <w:spacing w:before="120" w:after="120"/>
              <w:jc w:val="center"/>
            </w:pPr>
            <w:r w:rsidRPr="008A19BD">
              <w:t>4.25%</w:t>
            </w:r>
          </w:p>
        </w:tc>
        <w:tc>
          <w:tcPr>
            <w:tcW w:w="1551" w:type="dxa"/>
            <w:vMerge w:val="restart"/>
            <w:vAlign w:val="center"/>
          </w:tcPr>
          <w:p w:rsidR="000C4709" w:rsidRPr="008A19BD" w:rsidRDefault="000C4709" w:rsidP="00A25229">
            <w:pPr>
              <w:spacing w:before="120" w:after="120"/>
              <w:jc w:val="center"/>
            </w:pPr>
            <w:r w:rsidRPr="008A19BD">
              <w:t>20</w:t>
            </w:r>
          </w:p>
        </w:tc>
      </w:tr>
      <w:tr w:rsidR="000C4709" w:rsidRPr="008A19BD" w:rsidTr="000C4709">
        <w:tc>
          <w:tcPr>
            <w:tcW w:w="904" w:type="dxa"/>
          </w:tcPr>
          <w:p w:rsidR="000C4709" w:rsidRPr="008A19BD" w:rsidRDefault="000C4709" w:rsidP="00A25229">
            <w:pPr>
              <w:spacing w:before="120" w:after="120"/>
              <w:jc w:val="center"/>
            </w:pPr>
            <w:r w:rsidRPr="008A19BD">
              <w:t>30</w:t>
            </w:r>
          </w:p>
        </w:tc>
        <w:tc>
          <w:tcPr>
            <w:tcW w:w="1523" w:type="dxa"/>
            <w:vMerge/>
          </w:tcPr>
          <w:p w:rsidR="000C4709" w:rsidRPr="008A19BD" w:rsidRDefault="000C4709" w:rsidP="00A25229">
            <w:pPr>
              <w:spacing w:before="120" w:after="120"/>
              <w:jc w:val="center"/>
            </w:pPr>
          </w:p>
        </w:tc>
        <w:tc>
          <w:tcPr>
            <w:tcW w:w="808" w:type="dxa"/>
            <w:vMerge/>
          </w:tcPr>
          <w:p w:rsidR="000C4709" w:rsidRPr="008A19BD" w:rsidRDefault="000C4709" w:rsidP="00A25229">
            <w:pPr>
              <w:spacing w:before="120" w:after="120"/>
              <w:jc w:val="center"/>
            </w:pPr>
          </w:p>
        </w:tc>
        <w:tc>
          <w:tcPr>
            <w:tcW w:w="1551" w:type="dxa"/>
            <w:vMerge/>
            <w:vAlign w:val="center"/>
          </w:tcPr>
          <w:p w:rsidR="000C4709" w:rsidRPr="008A19BD" w:rsidRDefault="000C4709" w:rsidP="00A25229">
            <w:pPr>
              <w:spacing w:before="120" w:after="120"/>
              <w:jc w:val="center"/>
            </w:pPr>
          </w:p>
        </w:tc>
      </w:tr>
      <w:tr w:rsidR="000C4709" w:rsidRPr="008A19BD" w:rsidTr="000C4709">
        <w:tc>
          <w:tcPr>
            <w:tcW w:w="904" w:type="dxa"/>
          </w:tcPr>
          <w:p w:rsidR="000C4709" w:rsidRPr="008A19BD" w:rsidRDefault="000C4709" w:rsidP="00A25229">
            <w:pPr>
              <w:spacing w:before="120" w:after="120"/>
              <w:jc w:val="center"/>
            </w:pPr>
            <w:r w:rsidRPr="008A19BD">
              <w:t>35</w:t>
            </w:r>
          </w:p>
        </w:tc>
        <w:tc>
          <w:tcPr>
            <w:tcW w:w="1523" w:type="dxa"/>
            <w:vMerge/>
          </w:tcPr>
          <w:p w:rsidR="000C4709" w:rsidRPr="008A19BD" w:rsidRDefault="000C4709" w:rsidP="00A25229">
            <w:pPr>
              <w:spacing w:before="120" w:after="120"/>
              <w:jc w:val="center"/>
            </w:pPr>
          </w:p>
        </w:tc>
        <w:tc>
          <w:tcPr>
            <w:tcW w:w="808" w:type="dxa"/>
            <w:vMerge/>
          </w:tcPr>
          <w:p w:rsidR="000C4709" w:rsidRPr="008A19BD" w:rsidRDefault="000C4709" w:rsidP="00A25229">
            <w:pPr>
              <w:spacing w:before="120" w:after="120"/>
              <w:jc w:val="center"/>
            </w:pPr>
          </w:p>
        </w:tc>
        <w:tc>
          <w:tcPr>
            <w:tcW w:w="1551" w:type="dxa"/>
            <w:vMerge/>
            <w:vAlign w:val="center"/>
          </w:tcPr>
          <w:p w:rsidR="000C4709" w:rsidRPr="008A19BD" w:rsidRDefault="000C4709" w:rsidP="00A25229">
            <w:pPr>
              <w:spacing w:before="120" w:after="120"/>
              <w:jc w:val="center"/>
            </w:pPr>
          </w:p>
        </w:tc>
      </w:tr>
      <w:tr w:rsidR="000C4709" w:rsidRPr="008A19BD" w:rsidTr="000C4709">
        <w:tc>
          <w:tcPr>
            <w:tcW w:w="904" w:type="dxa"/>
          </w:tcPr>
          <w:p w:rsidR="000C4709" w:rsidRPr="008A19BD" w:rsidRDefault="000C4709" w:rsidP="00A25229">
            <w:pPr>
              <w:spacing w:before="120" w:after="120"/>
              <w:jc w:val="center"/>
            </w:pPr>
            <w:r w:rsidRPr="008A19BD">
              <w:t>40</w:t>
            </w:r>
          </w:p>
        </w:tc>
        <w:tc>
          <w:tcPr>
            <w:tcW w:w="1523" w:type="dxa"/>
            <w:vMerge/>
          </w:tcPr>
          <w:p w:rsidR="000C4709" w:rsidRPr="008A19BD" w:rsidRDefault="000C4709" w:rsidP="00A25229">
            <w:pPr>
              <w:spacing w:before="120" w:after="120"/>
              <w:jc w:val="center"/>
            </w:pPr>
          </w:p>
        </w:tc>
        <w:tc>
          <w:tcPr>
            <w:tcW w:w="808" w:type="dxa"/>
            <w:vMerge/>
          </w:tcPr>
          <w:p w:rsidR="000C4709" w:rsidRPr="008A19BD" w:rsidRDefault="000C4709" w:rsidP="00A25229">
            <w:pPr>
              <w:spacing w:before="120" w:after="120"/>
              <w:jc w:val="center"/>
            </w:pPr>
          </w:p>
        </w:tc>
        <w:tc>
          <w:tcPr>
            <w:tcW w:w="1551" w:type="dxa"/>
            <w:vMerge/>
            <w:vAlign w:val="center"/>
          </w:tcPr>
          <w:p w:rsidR="000C4709" w:rsidRPr="008A19BD" w:rsidRDefault="000C4709" w:rsidP="00A25229">
            <w:pPr>
              <w:spacing w:before="120" w:after="120"/>
              <w:jc w:val="center"/>
            </w:pPr>
          </w:p>
        </w:tc>
      </w:tr>
      <w:tr w:rsidR="000C4709" w:rsidRPr="008A19BD" w:rsidTr="000C4709">
        <w:tc>
          <w:tcPr>
            <w:tcW w:w="904" w:type="dxa"/>
          </w:tcPr>
          <w:p w:rsidR="000C4709" w:rsidRPr="008A19BD" w:rsidRDefault="000C4709" w:rsidP="00A25229">
            <w:pPr>
              <w:spacing w:before="120" w:after="120"/>
              <w:jc w:val="center"/>
            </w:pPr>
            <w:r w:rsidRPr="008A19BD">
              <w:t>45</w:t>
            </w:r>
          </w:p>
        </w:tc>
        <w:tc>
          <w:tcPr>
            <w:tcW w:w="1523" w:type="dxa"/>
            <w:vMerge/>
          </w:tcPr>
          <w:p w:rsidR="000C4709" w:rsidRPr="008A19BD" w:rsidRDefault="000C4709" w:rsidP="00A25229">
            <w:pPr>
              <w:spacing w:before="120" w:after="120"/>
              <w:jc w:val="center"/>
            </w:pPr>
          </w:p>
        </w:tc>
        <w:tc>
          <w:tcPr>
            <w:tcW w:w="808" w:type="dxa"/>
            <w:vMerge/>
          </w:tcPr>
          <w:p w:rsidR="000C4709" w:rsidRPr="008A19BD" w:rsidRDefault="000C4709" w:rsidP="00A25229">
            <w:pPr>
              <w:spacing w:before="120" w:after="120"/>
              <w:jc w:val="center"/>
            </w:pPr>
          </w:p>
        </w:tc>
        <w:tc>
          <w:tcPr>
            <w:tcW w:w="1551" w:type="dxa"/>
            <w:vMerge/>
            <w:vAlign w:val="center"/>
          </w:tcPr>
          <w:p w:rsidR="000C4709" w:rsidRPr="008A19BD" w:rsidRDefault="000C4709" w:rsidP="00A25229">
            <w:pPr>
              <w:spacing w:before="120" w:after="120"/>
              <w:jc w:val="center"/>
            </w:pPr>
          </w:p>
        </w:tc>
      </w:tr>
    </w:tbl>
    <w:p w:rsidR="005D0233" w:rsidRPr="008A19BD" w:rsidRDefault="005D0233" w:rsidP="00A25229">
      <w:pPr>
        <w:spacing w:after="120"/>
        <w:rPr>
          <w:sz w:val="22"/>
        </w:rPr>
      </w:pPr>
    </w:p>
    <w:p w:rsidR="001C3CB4" w:rsidRPr="008A19BD" w:rsidRDefault="001C3CB4" w:rsidP="00D66D2D">
      <w:pPr>
        <w:pStyle w:val="Heading3"/>
      </w:pPr>
      <w:r w:rsidRPr="008A19BD">
        <w:t>ANUITAS BERJANGKA</w:t>
      </w:r>
    </w:p>
    <w:p w:rsidR="006E2AB1" w:rsidRDefault="005533EE" w:rsidP="00D16DA8">
      <w:r>
        <w:t>Untuk menghitung</w:t>
      </w:r>
      <w:r w:rsidR="000C4709" w:rsidRPr="008A19BD">
        <w:t xml:space="preserve"> anuitas hidup berjangka awal</w:t>
      </w:r>
      <w:r>
        <w:t xml:space="preserve"> dengan mengacu pada rumus (</w:t>
      </w:r>
      <w:r w:rsidR="001C3CB4" w:rsidRPr="008A19BD">
        <w:t xml:space="preserve">2.8) </w:t>
      </w:r>
      <w:r w:rsidR="000C4709" w:rsidRPr="008A19BD">
        <w:t>dengan</w:t>
      </w:r>
      <w:r>
        <w:t xml:space="preserve"> menggunakan data peserta asuransi Tabel 4.1</w:t>
      </w:r>
      <w:r w:rsidR="00501E46">
        <w:t>, maka didapat anuitas berjangka awal secara berturut-turut yang tertera pada Tabel 4.2  sebagai berikut:</w:t>
      </w:r>
    </w:p>
    <w:p w:rsidR="000C4709" w:rsidRPr="00501E46" w:rsidRDefault="000C4709" w:rsidP="00D16DA8">
      <w:pPr>
        <w:rPr>
          <w:rFonts w:eastAsiaTheme="minorEastAsia"/>
        </w:rPr>
      </w:pPr>
      <w:r w:rsidRPr="008A19BD">
        <w:t>Tabel 4.2 Anuitas awal bejangka dengan jangka waktu 20 tahun</w:t>
      </w:r>
    </w:p>
    <w:tbl>
      <w:tblPr>
        <w:tblStyle w:val="TableGrid"/>
        <w:tblW w:w="0" w:type="auto"/>
        <w:tblInd w:w="108" w:type="dxa"/>
        <w:tblLook w:val="04A0"/>
      </w:tblPr>
      <w:tblGrid>
        <w:gridCol w:w="909"/>
        <w:gridCol w:w="1686"/>
        <w:gridCol w:w="2191"/>
      </w:tblGrid>
      <w:tr w:rsidR="000C4709" w:rsidRPr="008A19BD" w:rsidTr="001C3CB4">
        <w:tc>
          <w:tcPr>
            <w:tcW w:w="909" w:type="dxa"/>
            <w:vAlign w:val="center"/>
          </w:tcPr>
          <w:p w:rsidR="000C4709" w:rsidRPr="008A19BD" w:rsidRDefault="000C4709" w:rsidP="00A25229">
            <w:pPr>
              <w:spacing w:before="120" w:after="120"/>
              <w:jc w:val="center"/>
            </w:pPr>
            <w:r w:rsidRPr="008A19BD">
              <w:t>Usia (x)</w:t>
            </w:r>
          </w:p>
        </w:tc>
        <w:tc>
          <w:tcPr>
            <w:tcW w:w="1686" w:type="dxa"/>
            <w:vAlign w:val="center"/>
          </w:tcPr>
          <w:p w:rsidR="000C4709" w:rsidRPr="008A19BD" w:rsidRDefault="000C4709" w:rsidP="00A25229">
            <w:pPr>
              <w:spacing w:before="120" w:after="120"/>
              <w:jc w:val="center"/>
            </w:pPr>
            <w:r w:rsidRPr="008A19BD">
              <w:t>Jangak Waktu Pertanggungan (n)</w:t>
            </w:r>
          </w:p>
        </w:tc>
        <w:tc>
          <w:tcPr>
            <w:tcW w:w="2191" w:type="dxa"/>
            <w:vAlign w:val="center"/>
          </w:tcPr>
          <w:p w:rsidR="000C4709" w:rsidRPr="008A19BD" w:rsidRDefault="00E01235" w:rsidP="00A25229">
            <w:pPr>
              <w:spacing w:before="120" w:after="120"/>
              <w:jc w:val="center"/>
            </w:pPr>
            <m:oMathPara>
              <m:oMath>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25:</m:t>
                    </m:r>
                    <m:acc>
                      <m:accPr>
                        <m:chr m:val="̅"/>
                        <m:ctrlPr>
                          <w:rPr>
                            <w:rFonts w:ascii="Cambria Math" w:hAnsi="Cambria Math"/>
                            <w:i/>
                          </w:rPr>
                        </m:ctrlPr>
                      </m:accPr>
                      <m:e>
                        <m:r>
                          <w:rPr>
                            <w:rFonts w:ascii="Cambria Math"/>
                          </w:rPr>
                          <m:t>20</m:t>
                        </m:r>
                      </m:e>
                    </m:acc>
                    <m:r>
                      <w:rPr>
                        <w:rFonts w:ascii="Cambria Math"/>
                      </w:rPr>
                      <m:t>|</m:t>
                    </m:r>
                  </m:sub>
                </m:sSub>
              </m:oMath>
            </m:oMathPara>
          </w:p>
        </w:tc>
      </w:tr>
      <w:tr w:rsidR="000C4709" w:rsidRPr="008A19BD" w:rsidTr="001C3CB4">
        <w:tc>
          <w:tcPr>
            <w:tcW w:w="909" w:type="dxa"/>
            <w:vAlign w:val="center"/>
          </w:tcPr>
          <w:p w:rsidR="000C4709" w:rsidRPr="008A19BD" w:rsidRDefault="000C4709" w:rsidP="00A25229">
            <w:pPr>
              <w:spacing w:before="120" w:after="120"/>
              <w:jc w:val="center"/>
            </w:pPr>
            <w:r w:rsidRPr="008A19BD">
              <w:t>30</w:t>
            </w:r>
          </w:p>
        </w:tc>
        <w:tc>
          <w:tcPr>
            <w:tcW w:w="1686" w:type="dxa"/>
            <w:vMerge w:val="restart"/>
            <w:vAlign w:val="center"/>
          </w:tcPr>
          <w:p w:rsidR="000C4709" w:rsidRPr="008A19BD" w:rsidRDefault="000C4709" w:rsidP="00A25229">
            <w:pPr>
              <w:spacing w:before="120" w:after="120"/>
              <w:jc w:val="center"/>
            </w:pPr>
            <w:r w:rsidRPr="008A19BD">
              <w:t>20</w:t>
            </w:r>
          </w:p>
        </w:tc>
        <w:tc>
          <w:tcPr>
            <w:tcW w:w="2191" w:type="dxa"/>
            <w:vAlign w:val="center"/>
          </w:tcPr>
          <w:p w:rsidR="000C4709" w:rsidRPr="008A19BD" w:rsidRDefault="000C4709" w:rsidP="00A25229">
            <w:pPr>
              <w:spacing w:before="120" w:after="120"/>
              <w:jc w:val="center"/>
              <w:rPr>
                <w:color w:val="000000"/>
              </w:rPr>
            </w:pPr>
            <w:r w:rsidRPr="008A19BD">
              <w:rPr>
                <w:color w:val="000000"/>
              </w:rPr>
              <w:t>13.76360479</w:t>
            </w:r>
          </w:p>
        </w:tc>
      </w:tr>
      <w:tr w:rsidR="000C4709" w:rsidRPr="008A19BD" w:rsidTr="001C3CB4">
        <w:tc>
          <w:tcPr>
            <w:tcW w:w="909" w:type="dxa"/>
            <w:vAlign w:val="center"/>
          </w:tcPr>
          <w:p w:rsidR="000C4709" w:rsidRPr="008A19BD" w:rsidRDefault="000C4709" w:rsidP="00A25229">
            <w:pPr>
              <w:spacing w:before="120" w:after="120"/>
              <w:jc w:val="center"/>
            </w:pPr>
            <w:r w:rsidRPr="008A19BD">
              <w:t>35</w:t>
            </w:r>
          </w:p>
        </w:tc>
        <w:tc>
          <w:tcPr>
            <w:tcW w:w="1686" w:type="dxa"/>
            <w:vMerge/>
            <w:vAlign w:val="center"/>
          </w:tcPr>
          <w:p w:rsidR="000C4709" w:rsidRPr="008A19BD" w:rsidRDefault="000C4709" w:rsidP="00A25229">
            <w:pPr>
              <w:spacing w:before="120" w:after="120"/>
              <w:jc w:val="center"/>
            </w:pPr>
          </w:p>
        </w:tc>
        <w:tc>
          <w:tcPr>
            <w:tcW w:w="2191" w:type="dxa"/>
            <w:vAlign w:val="center"/>
          </w:tcPr>
          <w:p w:rsidR="000C4709" w:rsidRPr="008A19BD" w:rsidRDefault="000C4709" w:rsidP="00A25229">
            <w:pPr>
              <w:spacing w:before="120" w:after="120"/>
              <w:jc w:val="center"/>
              <w:rPr>
                <w:color w:val="000000"/>
              </w:rPr>
            </w:pPr>
            <w:r w:rsidRPr="008A19BD">
              <w:rPr>
                <w:color w:val="000000"/>
              </w:rPr>
              <w:t>13.70646344</w:t>
            </w:r>
          </w:p>
        </w:tc>
      </w:tr>
      <w:tr w:rsidR="000C4709" w:rsidRPr="008A19BD" w:rsidTr="001C3CB4">
        <w:tc>
          <w:tcPr>
            <w:tcW w:w="909" w:type="dxa"/>
            <w:vAlign w:val="center"/>
          </w:tcPr>
          <w:p w:rsidR="000C4709" w:rsidRPr="008A19BD" w:rsidRDefault="000C4709" w:rsidP="00A25229">
            <w:pPr>
              <w:spacing w:before="120" w:after="120"/>
              <w:jc w:val="center"/>
            </w:pPr>
            <w:r w:rsidRPr="008A19BD">
              <w:t>40</w:t>
            </w:r>
          </w:p>
        </w:tc>
        <w:tc>
          <w:tcPr>
            <w:tcW w:w="1686" w:type="dxa"/>
            <w:vMerge/>
            <w:vAlign w:val="center"/>
          </w:tcPr>
          <w:p w:rsidR="000C4709" w:rsidRPr="008A19BD" w:rsidRDefault="000C4709" w:rsidP="00A25229">
            <w:pPr>
              <w:spacing w:before="120" w:after="120"/>
              <w:jc w:val="center"/>
            </w:pPr>
          </w:p>
        </w:tc>
        <w:tc>
          <w:tcPr>
            <w:tcW w:w="2191" w:type="dxa"/>
            <w:vAlign w:val="center"/>
          </w:tcPr>
          <w:p w:rsidR="000C4709" w:rsidRPr="008A19BD" w:rsidRDefault="000C4709" w:rsidP="00A25229">
            <w:pPr>
              <w:spacing w:before="120" w:after="120"/>
              <w:jc w:val="center"/>
              <w:rPr>
                <w:color w:val="000000"/>
              </w:rPr>
            </w:pPr>
            <w:r w:rsidRPr="008A19BD">
              <w:rPr>
                <w:color w:val="000000"/>
              </w:rPr>
              <w:t>13.59786313</w:t>
            </w:r>
          </w:p>
        </w:tc>
      </w:tr>
      <w:tr w:rsidR="000C4709" w:rsidRPr="008A19BD" w:rsidTr="001C3CB4">
        <w:tc>
          <w:tcPr>
            <w:tcW w:w="909" w:type="dxa"/>
            <w:vAlign w:val="center"/>
          </w:tcPr>
          <w:p w:rsidR="000C4709" w:rsidRPr="008A19BD" w:rsidRDefault="000C4709" w:rsidP="00A25229">
            <w:pPr>
              <w:spacing w:before="120" w:after="120"/>
              <w:jc w:val="center"/>
            </w:pPr>
            <w:r w:rsidRPr="008A19BD">
              <w:t>45</w:t>
            </w:r>
          </w:p>
        </w:tc>
        <w:tc>
          <w:tcPr>
            <w:tcW w:w="1686" w:type="dxa"/>
            <w:vMerge/>
            <w:vAlign w:val="center"/>
          </w:tcPr>
          <w:p w:rsidR="000C4709" w:rsidRPr="008A19BD" w:rsidRDefault="000C4709" w:rsidP="00A25229">
            <w:pPr>
              <w:spacing w:before="120" w:after="120"/>
              <w:jc w:val="center"/>
            </w:pPr>
          </w:p>
        </w:tc>
        <w:tc>
          <w:tcPr>
            <w:tcW w:w="2191" w:type="dxa"/>
            <w:vAlign w:val="center"/>
          </w:tcPr>
          <w:p w:rsidR="000C4709" w:rsidRPr="008A19BD" w:rsidRDefault="000C4709" w:rsidP="00A25229">
            <w:pPr>
              <w:spacing w:before="120" w:after="120"/>
              <w:jc w:val="center"/>
              <w:rPr>
                <w:color w:val="000000"/>
              </w:rPr>
            </w:pPr>
            <w:r w:rsidRPr="008A19BD">
              <w:rPr>
                <w:color w:val="000000"/>
              </w:rPr>
              <w:t>13.42293069</w:t>
            </w:r>
          </w:p>
        </w:tc>
      </w:tr>
    </w:tbl>
    <w:p w:rsidR="00A326F1" w:rsidRPr="008A19BD" w:rsidRDefault="001C3CB4" w:rsidP="00D66D2D">
      <w:pPr>
        <w:pStyle w:val="Heading3"/>
        <w:rPr>
          <w:rFonts w:eastAsiaTheme="minorEastAsia"/>
        </w:rPr>
      </w:pPr>
      <w:r w:rsidRPr="008A19BD">
        <w:rPr>
          <w:rFonts w:eastAsiaTheme="minorEastAsia"/>
        </w:rPr>
        <w:lastRenderedPageBreak/>
        <w:t>MENGHITUNG PREMI BERSIH TUNGGAL ASURANSI JIWA DWIGUNA</w:t>
      </w:r>
    </w:p>
    <w:p w:rsidR="008A19BD" w:rsidRPr="00F66EC3" w:rsidRDefault="001C3CB4" w:rsidP="00D16DA8">
      <w:pPr>
        <w:rPr>
          <w:rFonts w:eastAsiaTheme="minorEastAsia"/>
          <w:b/>
        </w:rPr>
      </w:pPr>
      <w:r w:rsidRPr="008A19BD">
        <w:rPr>
          <w:rFonts w:eastAsiaTheme="minorEastAsia"/>
        </w:rPr>
        <w:t xml:space="preserve">Untuk menghitung nilai premi bersih tunggal asuransi jiwa dwiguna </w:t>
      </w:r>
      <w:r w:rsidR="005D0233">
        <w:rPr>
          <w:rFonts w:eastAsiaTheme="minorEastAsia"/>
        </w:rPr>
        <w:t xml:space="preserve">dengan mengacu pada rumus </w:t>
      </w:r>
      <w:r w:rsidRPr="008A19BD">
        <w:rPr>
          <w:rFonts w:eastAsiaTheme="minorEastAsia"/>
        </w:rPr>
        <w:t>(2.7)</w:t>
      </w:r>
      <w:r w:rsidR="005D0233">
        <w:rPr>
          <w:rFonts w:eastAsiaTheme="minorEastAsia"/>
        </w:rPr>
        <w:t xml:space="preserve"> dengan menggunakan data peserta asuransi Tabel 4.1, maka didapat premi bersih tunggal asuransi jiwa dwiguna secara berturut-turut yang tertera pada Tabel 4.3 sebagai berikut:</w:t>
      </w:r>
    </w:p>
    <w:p w:rsidR="001C3CB4" w:rsidRPr="008A19BD" w:rsidRDefault="001C3CB4" w:rsidP="00D16DA8">
      <w:pPr>
        <w:rPr>
          <w:rFonts w:eastAsiaTheme="minorEastAsia"/>
        </w:rPr>
      </w:pPr>
      <w:r w:rsidRPr="008A19BD">
        <w:rPr>
          <w:rFonts w:eastAsiaTheme="minorEastAsia"/>
        </w:rPr>
        <w:t>Tabel 4.3 Premi bersi tunggal asuransi jiwa</w:t>
      </w:r>
    </w:p>
    <w:tbl>
      <w:tblPr>
        <w:tblStyle w:val="TableGrid"/>
        <w:tblW w:w="4570" w:type="dxa"/>
        <w:tblInd w:w="108" w:type="dxa"/>
        <w:tblLayout w:type="fixed"/>
        <w:tblLook w:val="04A0"/>
      </w:tblPr>
      <w:tblGrid>
        <w:gridCol w:w="534"/>
        <w:gridCol w:w="1167"/>
        <w:gridCol w:w="993"/>
        <w:gridCol w:w="1876"/>
      </w:tblGrid>
      <w:tr w:rsidR="001C3CB4" w:rsidRPr="008A19BD" w:rsidTr="001C3CB4">
        <w:tc>
          <w:tcPr>
            <w:tcW w:w="534" w:type="dxa"/>
            <w:vAlign w:val="center"/>
          </w:tcPr>
          <w:p w:rsidR="001C3CB4" w:rsidRPr="008A19BD" w:rsidRDefault="001C3CB4" w:rsidP="00A25229">
            <w:pPr>
              <w:spacing w:before="120" w:after="120"/>
              <w:jc w:val="center"/>
              <w:rPr>
                <w:rFonts w:eastAsiaTheme="minorEastAsia"/>
              </w:rPr>
            </w:pPr>
            <w:r w:rsidRPr="008A19BD">
              <w:rPr>
                <w:rFonts w:eastAsiaTheme="minorEastAsia"/>
              </w:rPr>
              <w:t>Usia (x)</w:t>
            </w:r>
          </w:p>
        </w:tc>
        <w:tc>
          <w:tcPr>
            <w:tcW w:w="1167" w:type="dxa"/>
            <w:vAlign w:val="center"/>
          </w:tcPr>
          <w:p w:rsidR="001C3CB4" w:rsidRPr="008A19BD" w:rsidRDefault="001C3CB4" w:rsidP="00A25229">
            <w:pPr>
              <w:spacing w:before="120" w:after="120"/>
              <w:jc w:val="center"/>
              <w:rPr>
                <w:rFonts w:eastAsiaTheme="minorEastAsia"/>
              </w:rPr>
            </w:pPr>
            <w:r w:rsidRPr="008A19BD">
              <w:rPr>
                <w:rFonts w:eastAsiaTheme="minorEastAsia"/>
              </w:rPr>
              <w:t>Jangka Waktu Pertanggungan (n)</w:t>
            </w:r>
          </w:p>
        </w:tc>
        <w:tc>
          <w:tcPr>
            <w:tcW w:w="993" w:type="dxa"/>
            <w:vAlign w:val="center"/>
          </w:tcPr>
          <w:p w:rsidR="001C3CB4" w:rsidRPr="008A19BD" w:rsidRDefault="001C3CB4" w:rsidP="00A25229">
            <w:pPr>
              <w:spacing w:before="120" w:after="120"/>
              <w:jc w:val="center"/>
              <w:rPr>
                <w:rFonts w:eastAsia="Calibri"/>
              </w:rPr>
            </w:pPr>
            <w:r w:rsidRPr="008A19BD">
              <w:rPr>
                <w:rFonts w:eastAsia="Calibri"/>
              </w:rPr>
              <w:t>Besar Santunan</w:t>
            </w:r>
          </w:p>
        </w:tc>
        <w:tc>
          <w:tcPr>
            <w:tcW w:w="1876" w:type="dxa"/>
            <w:vAlign w:val="center"/>
          </w:tcPr>
          <w:p w:rsidR="001C3CB4" w:rsidRPr="008A19BD" w:rsidRDefault="001C3CB4" w:rsidP="00A25229">
            <w:pPr>
              <w:spacing w:before="120" w:after="120"/>
              <w:jc w:val="center"/>
              <w:rPr>
                <w:rFonts w:eastAsiaTheme="minorEastAsia"/>
              </w:rPr>
            </w:pPr>
            <w:r w:rsidRPr="008A19BD">
              <w:rPr>
                <w:rFonts w:eastAsiaTheme="minorEastAsia"/>
              </w:rPr>
              <w:t>Premi Bersih Tunggal</w:t>
            </w:r>
          </w:p>
        </w:tc>
      </w:tr>
      <w:tr w:rsidR="001C3CB4" w:rsidRPr="008A19BD" w:rsidTr="001C3CB4">
        <w:tc>
          <w:tcPr>
            <w:tcW w:w="534" w:type="dxa"/>
            <w:vAlign w:val="center"/>
          </w:tcPr>
          <w:p w:rsidR="001C3CB4" w:rsidRPr="008A19BD" w:rsidRDefault="001C3CB4" w:rsidP="00A25229">
            <w:pPr>
              <w:spacing w:before="120" w:after="120"/>
              <w:jc w:val="center"/>
              <w:rPr>
                <w:rFonts w:eastAsiaTheme="minorEastAsia"/>
              </w:rPr>
            </w:pPr>
            <w:r w:rsidRPr="008A19BD">
              <w:rPr>
                <w:rFonts w:eastAsiaTheme="minorEastAsia"/>
              </w:rPr>
              <w:t>30</w:t>
            </w:r>
          </w:p>
        </w:tc>
        <w:tc>
          <w:tcPr>
            <w:tcW w:w="1167" w:type="dxa"/>
            <w:vMerge w:val="restart"/>
            <w:vAlign w:val="center"/>
          </w:tcPr>
          <w:p w:rsidR="001C3CB4" w:rsidRPr="008A19BD" w:rsidRDefault="001C3CB4" w:rsidP="00A25229">
            <w:pPr>
              <w:spacing w:before="120" w:after="120"/>
              <w:jc w:val="center"/>
              <w:rPr>
                <w:rFonts w:eastAsiaTheme="minorEastAsia"/>
              </w:rPr>
            </w:pPr>
            <w:r w:rsidRPr="008A19BD">
              <w:rPr>
                <w:rFonts w:eastAsiaTheme="minorEastAsia"/>
              </w:rPr>
              <w:t>20</w:t>
            </w:r>
          </w:p>
        </w:tc>
        <w:tc>
          <w:tcPr>
            <w:tcW w:w="993" w:type="dxa"/>
            <w:vMerge w:val="restart"/>
            <w:vAlign w:val="center"/>
          </w:tcPr>
          <w:p w:rsidR="001C3CB4" w:rsidRPr="008A19BD" w:rsidRDefault="001C3CB4" w:rsidP="00A25229">
            <w:pPr>
              <w:spacing w:before="120" w:after="120"/>
              <w:jc w:val="center"/>
              <w:rPr>
                <w:rFonts w:eastAsiaTheme="minorEastAsia"/>
              </w:rPr>
            </w:pPr>
            <w:r w:rsidRPr="008A19BD">
              <w:rPr>
                <w:rFonts w:eastAsiaTheme="minorEastAsia"/>
              </w:rPr>
              <w:t>Rp. 10.000.000</w:t>
            </w:r>
          </w:p>
        </w:tc>
        <w:tc>
          <w:tcPr>
            <w:tcW w:w="1876" w:type="dxa"/>
            <w:vAlign w:val="center"/>
          </w:tcPr>
          <w:p w:rsidR="001C3CB4" w:rsidRPr="008A19BD" w:rsidRDefault="001C3CB4" w:rsidP="00A25229">
            <w:pPr>
              <w:spacing w:before="120" w:after="120"/>
              <w:jc w:val="center"/>
              <w:rPr>
                <w:color w:val="000000"/>
              </w:rPr>
            </w:pPr>
            <w:r w:rsidRPr="008A19BD">
              <w:rPr>
                <w:color w:val="000000"/>
              </w:rPr>
              <w:t>Rp. 4.388.938,094</w:t>
            </w:r>
          </w:p>
        </w:tc>
      </w:tr>
      <w:tr w:rsidR="001C3CB4" w:rsidRPr="008A19BD" w:rsidTr="001C3CB4">
        <w:tc>
          <w:tcPr>
            <w:tcW w:w="534" w:type="dxa"/>
            <w:vAlign w:val="center"/>
          </w:tcPr>
          <w:p w:rsidR="001C3CB4" w:rsidRPr="008A19BD" w:rsidRDefault="001C3CB4" w:rsidP="00A25229">
            <w:pPr>
              <w:spacing w:before="120" w:after="120"/>
              <w:jc w:val="center"/>
              <w:rPr>
                <w:rFonts w:eastAsiaTheme="minorEastAsia"/>
              </w:rPr>
            </w:pPr>
            <w:r w:rsidRPr="008A19BD">
              <w:rPr>
                <w:rFonts w:eastAsiaTheme="minorEastAsia"/>
              </w:rPr>
              <w:t>35</w:t>
            </w:r>
          </w:p>
        </w:tc>
        <w:tc>
          <w:tcPr>
            <w:tcW w:w="1167" w:type="dxa"/>
            <w:vMerge/>
            <w:vAlign w:val="center"/>
          </w:tcPr>
          <w:p w:rsidR="001C3CB4" w:rsidRPr="008A19BD" w:rsidRDefault="001C3CB4" w:rsidP="00A25229">
            <w:pPr>
              <w:spacing w:before="120" w:after="120"/>
              <w:jc w:val="center"/>
              <w:rPr>
                <w:rFonts w:eastAsiaTheme="minorEastAsia"/>
              </w:rPr>
            </w:pPr>
          </w:p>
        </w:tc>
        <w:tc>
          <w:tcPr>
            <w:tcW w:w="993" w:type="dxa"/>
            <w:vMerge/>
          </w:tcPr>
          <w:p w:rsidR="001C3CB4" w:rsidRPr="008A19BD" w:rsidRDefault="001C3CB4" w:rsidP="00A25229">
            <w:pPr>
              <w:spacing w:before="120" w:after="120"/>
              <w:jc w:val="center"/>
              <w:rPr>
                <w:rFonts w:eastAsiaTheme="minorEastAsia"/>
              </w:rPr>
            </w:pPr>
          </w:p>
        </w:tc>
        <w:tc>
          <w:tcPr>
            <w:tcW w:w="1876" w:type="dxa"/>
            <w:vAlign w:val="center"/>
          </w:tcPr>
          <w:p w:rsidR="001C3CB4" w:rsidRPr="008A19BD" w:rsidRDefault="001C3CB4" w:rsidP="00A25229">
            <w:pPr>
              <w:spacing w:before="120" w:after="120"/>
              <w:jc w:val="center"/>
              <w:rPr>
                <w:color w:val="000000"/>
              </w:rPr>
            </w:pPr>
            <w:r w:rsidRPr="008A19BD">
              <w:rPr>
                <w:color w:val="000000"/>
              </w:rPr>
              <w:t>Rp. 4.412.233,131</w:t>
            </w:r>
          </w:p>
        </w:tc>
      </w:tr>
      <w:tr w:rsidR="001C3CB4" w:rsidRPr="008A19BD" w:rsidTr="001C3CB4">
        <w:tc>
          <w:tcPr>
            <w:tcW w:w="534" w:type="dxa"/>
            <w:vAlign w:val="center"/>
          </w:tcPr>
          <w:p w:rsidR="001C3CB4" w:rsidRPr="008A19BD" w:rsidRDefault="001C3CB4" w:rsidP="00A25229">
            <w:pPr>
              <w:spacing w:before="120" w:after="120"/>
              <w:jc w:val="center"/>
              <w:rPr>
                <w:rFonts w:eastAsiaTheme="minorEastAsia"/>
              </w:rPr>
            </w:pPr>
            <w:r w:rsidRPr="008A19BD">
              <w:rPr>
                <w:rFonts w:eastAsiaTheme="minorEastAsia"/>
              </w:rPr>
              <w:t>40</w:t>
            </w:r>
          </w:p>
        </w:tc>
        <w:tc>
          <w:tcPr>
            <w:tcW w:w="1167" w:type="dxa"/>
            <w:vMerge/>
            <w:vAlign w:val="center"/>
          </w:tcPr>
          <w:p w:rsidR="001C3CB4" w:rsidRPr="008A19BD" w:rsidRDefault="001C3CB4" w:rsidP="00A25229">
            <w:pPr>
              <w:spacing w:before="120" w:after="120"/>
              <w:jc w:val="center"/>
              <w:rPr>
                <w:rFonts w:eastAsiaTheme="minorEastAsia"/>
              </w:rPr>
            </w:pPr>
          </w:p>
        </w:tc>
        <w:tc>
          <w:tcPr>
            <w:tcW w:w="993" w:type="dxa"/>
            <w:vMerge/>
          </w:tcPr>
          <w:p w:rsidR="001C3CB4" w:rsidRPr="008A19BD" w:rsidRDefault="001C3CB4" w:rsidP="00A25229">
            <w:pPr>
              <w:spacing w:before="120" w:after="120"/>
              <w:jc w:val="center"/>
              <w:rPr>
                <w:rFonts w:eastAsiaTheme="minorEastAsia"/>
              </w:rPr>
            </w:pPr>
          </w:p>
        </w:tc>
        <w:tc>
          <w:tcPr>
            <w:tcW w:w="1876" w:type="dxa"/>
            <w:vAlign w:val="center"/>
          </w:tcPr>
          <w:p w:rsidR="001C3CB4" w:rsidRPr="008A19BD" w:rsidRDefault="001C3CB4" w:rsidP="00A25229">
            <w:pPr>
              <w:spacing w:before="120" w:after="120"/>
              <w:jc w:val="center"/>
              <w:rPr>
                <w:color w:val="000000"/>
              </w:rPr>
            </w:pPr>
            <w:r w:rsidRPr="008A19BD">
              <w:rPr>
                <w:color w:val="000000"/>
              </w:rPr>
              <w:t>Rp. 4.456.506,639</w:t>
            </w:r>
          </w:p>
        </w:tc>
      </w:tr>
      <w:tr w:rsidR="001C3CB4" w:rsidRPr="008A19BD" w:rsidTr="001C3CB4">
        <w:tc>
          <w:tcPr>
            <w:tcW w:w="534" w:type="dxa"/>
            <w:vAlign w:val="center"/>
          </w:tcPr>
          <w:p w:rsidR="001C3CB4" w:rsidRPr="008A19BD" w:rsidRDefault="001C3CB4" w:rsidP="00A25229">
            <w:pPr>
              <w:spacing w:before="120" w:after="120"/>
              <w:jc w:val="center"/>
              <w:rPr>
                <w:rFonts w:eastAsiaTheme="minorEastAsia"/>
              </w:rPr>
            </w:pPr>
            <w:r w:rsidRPr="008A19BD">
              <w:rPr>
                <w:rFonts w:eastAsiaTheme="minorEastAsia"/>
              </w:rPr>
              <w:t>45</w:t>
            </w:r>
          </w:p>
        </w:tc>
        <w:tc>
          <w:tcPr>
            <w:tcW w:w="1167" w:type="dxa"/>
            <w:vMerge/>
            <w:vAlign w:val="center"/>
          </w:tcPr>
          <w:p w:rsidR="001C3CB4" w:rsidRPr="008A19BD" w:rsidRDefault="001C3CB4" w:rsidP="00A25229">
            <w:pPr>
              <w:spacing w:before="120" w:after="120"/>
              <w:jc w:val="center"/>
              <w:rPr>
                <w:rFonts w:eastAsiaTheme="minorEastAsia"/>
              </w:rPr>
            </w:pPr>
          </w:p>
        </w:tc>
        <w:tc>
          <w:tcPr>
            <w:tcW w:w="993" w:type="dxa"/>
            <w:vMerge/>
          </w:tcPr>
          <w:p w:rsidR="001C3CB4" w:rsidRPr="008A19BD" w:rsidRDefault="001C3CB4" w:rsidP="00A25229">
            <w:pPr>
              <w:spacing w:before="120" w:after="120"/>
              <w:jc w:val="center"/>
              <w:rPr>
                <w:rFonts w:eastAsiaTheme="minorEastAsia"/>
              </w:rPr>
            </w:pPr>
          </w:p>
        </w:tc>
        <w:tc>
          <w:tcPr>
            <w:tcW w:w="1876" w:type="dxa"/>
            <w:vAlign w:val="center"/>
          </w:tcPr>
          <w:p w:rsidR="001C3CB4" w:rsidRPr="008A19BD" w:rsidRDefault="001C3CB4" w:rsidP="00A25229">
            <w:pPr>
              <w:spacing w:before="120" w:after="120"/>
              <w:jc w:val="center"/>
              <w:rPr>
                <w:color w:val="000000"/>
              </w:rPr>
            </w:pPr>
            <w:r w:rsidRPr="008A19BD">
              <w:rPr>
                <w:color w:val="000000"/>
              </w:rPr>
              <w:t>Rp. 4.527.822,021</w:t>
            </w:r>
          </w:p>
        </w:tc>
      </w:tr>
    </w:tbl>
    <w:p w:rsidR="00E23B55" w:rsidRDefault="00E23B55" w:rsidP="00D16DA8">
      <w:pPr>
        <w:pStyle w:val="ListParagraph"/>
        <w:tabs>
          <w:tab w:val="left" w:pos="426"/>
        </w:tabs>
        <w:spacing w:before="0" w:after="0"/>
        <w:ind w:left="0"/>
        <w:rPr>
          <w:rFonts w:eastAsiaTheme="minorEastAsia"/>
          <w:b/>
          <w:sz w:val="22"/>
        </w:rPr>
      </w:pPr>
    </w:p>
    <w:p w:rsidR="00A326F1" w:rsidRPr="008A19BD" w:rsidRDefault="00D84926" w:rsidP="00D66D2D">
      <w:pPr>
        <w:pStyle w:val="Heading3"/>
        <w:rPr>
          <w:rFonts w:eastAsiaTheme="minorEastAsia"/>
        </w:rPr>
      </w:pPr>
      <w:r w:rsidRPr="008A19BD">
        <w:rPr>
          <w:rFonts w:eastAsiaTheme="minorEastAsia"/>
        </w:rPr>
        <w:t>MENGHITUNG PREMI BERSIH TAHUNAN ASURANSI JIWA DWIGUNA</w:t>
      </w:r>
    </w:p>
    <w:p w:rsidR="00E23B55" w:rsidRPr="008A19BD" w:rsidRDefault="00D84926" w:rsidP="00D16DA8">
      <w:pPr>
        <w:rPr>
          <w:rFonts w:eastAsiaTheme="minorEastAsia"/>
        </w:rPr>
      </w:pPr>
      <w:r w:rsidRPr="008A19BD">
        <w:rPr>
          <w:rFonts w:eastAsiaTheme="minorEastAsia"/>
        </w:rPr>
        <w:t xml:space="preserve">Untuk menghitung premi bersih tahunan asuransi jiwa dwiguna </w:t>
      </w:r>
      <w:r w:rsidR="002C320E">
        <w:rPr>
          <w:rFonts w:eastAsiaTheme="minorEastAsia"/>
        </w:rPr>
        <w:t xml:space="preserve">dengan mengacu pada rumus (2.9) dengan menggunakan data peserta asuransi Tabel 4.1, maka didapat premi </w:t>
      </w:r>
      <w:r w:rsidR="00E23B55">
        <w:rPr>
          <w:rFonts w:eastAsiaTheme="minorEastAsia"/>
        </w:rPr>
        <w:t>bersih tahunan asuransi jiwa dwiguna secara berturut-turut yang tertera pada Tabel 4.4 sebagai berikut:</w:t>
      </w:r>
    </w:p>
    <w:p w:rsidR="00D84926" w:rsidRPr="008A19BD" w:rsidRDefault="00D84926" w:rsidP="00D16DA8">
      <w:pPr>
        <w:rPr>
          <w:color w:val="000000"/>
        </w:rPr>
      </w:pPr>
      <w:r w:rsidRPr="008A19BD">
        <w:rPr>
          <w:color w:val="000000"/>
        </w:rPr>
        <w:t>Tabel 4.4 Premi Bersih Tahunan Asuransi Jiwa</w:t>
      </w:r>
    </w:p>
    <w:tbl>
      <w:tblPr>
        <w:tblStyle w:val="TableGrid"/>
        <w:tblW w:w="4678" w:type="dxa"/>
        <w:tblInd w:w="108" w:type="dxa"/>
        <w:tblLayout w:type="fixed"/>
        <w:tblLook w:val="04A0"/>
      </w:tblPr>
      <w:tblGrid>
        <w:gridCol w:w="791"/>
        <w:gridCol w:w="1477"/>
        <w:gridCol w:w="1276"/>
        <w:gridCol w:w="1134"/>
      </w:tblGrid>
      <w:tr w:rsidR="00D84926" w:rsidRPr="008A19BD" w:rsidTr="00E23B55">
        <w:tc>
          <w:tcPr>
            <w:tcW w:w="791" w:type="dxa"/>
            <w:vAlign w:val="center"/>
          </w:tcPr>
          <w:p w:rsidR="00D84926" w:rsidRPr="008A19BD" w:rsidRDefault="00D84926" w:rsidP="00A25229">
            <w:pPr>
              <w:spacing w:before="120" w:after="120"/>
              <w:jc w:val="center"/>
              <w:rPr>
                <w:color w:val="000000"/>
              </w:rPr>
            </w:pPr>
            <w:r w:rsidRPr="008A19BD">
              <w:rPr>
                <w:color w:val="000000"/>
              </w:rPr>
              <w:t>Usia (x)</w:t>
            </w:r>
          </w:p>
        </w:tc>
        <w:tc>
          <w:tcPr>
            <w:tcW w:w="1477" w:type="dxa"/>
            <w:vAlign w:val="center"/>
          </w:tcPr>
          <w:p w:rsidR="00D84926" w:rsidRPr="008A19BD" w:rsidRDefault="00D84926" w:rsidP="00A25229">
            <w:pPr>
              <w:spacing w:before="120" w:after="120"/>
              <w:jc w:val="center"/>
              <w:rPr>
                <w:color w:val="000000"/>
              </w:rPr>
            </w:pPr>
            <w:r w:rsidRPr="008A19BD">
              <w:rPr>
                <w:color w:val="000000"/>
              </w:rPr>
              <w:t>Jangka Waktu Pertanggungan (n)</w:t>
            </w:r>
          </w:p>
        </w:tc>
        <w:tc>
          <w:tcPr>
            <w:tcW w:w="1276" w:type="dxa"/>
            <w:vAlign w:val="center"/>
          </w:tcPr>
          <w:p w:rsidR="00D84926" w:rsidRPr="008A19BD" w:rsidRDefault="00D84926" w:rsidP="00A25229">
            <w:pPr>
              <w:spacing w:before="120" w:after="120"/>
              <w:jc w:val="center"/>
              <w:rPr>
                <w:color w:val="000000"/>
              </w:rPr>
            </w:pPr>
            <w:r w:rsidRPr="008A19BD">
              <w:rPr>
                <w:color w:val="000000"/>
              </w:rPr>
              <w:t>Besar Santunan</w:t>
            </w:r>
          </w:p>
        </w:tc>
        <w:tc>
          <w:tcPr>
            <w:tcW w:w="1134" w:type="dxa"/>
            <w:vAlign w:val="center"/>
          </w:tcPr>
          <w:p w:rsidR="00D84926" w:rsidRPr="008A19BD" w:rsidRDefault="00D84926" w:rsidP="00A25229">
            <w:pPr>
              <w:spacing w:before="120" w:after="120"/>
              <w:jc w:val="center"/>
              <w:rPr>
                <w:color w:val="000000"/>
              </w:rPr>
            </w:pPr>
            <w:r w:rsidRPr="008A19BD">
              <w:rPr>
                <w:color w:val="000000"/>
              </w:rPr>
              <w:t>Premi Bersih Tahunan</w:t>
            </w:r>
          </w:p>
        </w:tc>
      </w:tr>
      <w:tr w:rsidR="00D84926" w:rsidRPr="008A19BD" w:rsidTr="00E23B55">
        <w:tc>
          <w:tcPr>
            <w:tcW w:w="791" w:type="dxa"/>
            <w:vAlign w:val="center"/>
          </w:tcPr>
          <w:p w:rsidR="00D84926" w:rsidRPr="008A19BD" w:rsidRDefault="00D84926" w:rsidP="00A25229">
            <w:pPr>
              <w:spacing w:before="120" w:after="120"/>
              <w:jc w:val="center"/>
              <w:rPr>
                <w:color w:val="000000"/>
              </w:rPr>
            </w:pPr>
            <w:r w:rsidRPr="008A19BD">
              <w:rPr>
                <w:color w:val="000000"/>
              </w:rPr>
              <w:t>30</w:t>
            </w:r>
          </w:p>
        </w:tc>
        <w:tc>
          <w:tcPr>
            <w:tcW w:w="1477" w:type="dxa"/>
            <w:vMerge w:val="restart"/>
            <w:vAlign w:val="center"/>
          </w:tcPr>
          <w:p w:rsidR="00D84926" w:rsidRPr="008A19BD" w:rsidRDefault="00D84926" w:rsidP="00A25229">
            <w:pPr>
              <w:spacing w:before="120" w:after="120"/>
              <w:jc w:val="center"/>
              <w:rPr>
                <w:color w:val="000000"/>
              </w:rPr>
            </w:pPr>
            <w:r w:rsidRPr="008A19BD">
              <w:rPr>
                <w:color w:val="000000"/>
              </w:rPr>
              <w:t>20</w:t>
            </w:r>
          </w:p>
        </w:tc>
        <w:tc>
          <w:tcPr>
            <w:tcW w:w="1276" w:type="dxa"/>
            <w:vMerge w:val="restart"/>
            <w:vAlign w:val="center"/>
          </w:tcPr>
          <w:p w:rsidR="00D84926" w:rsidRPr="008A19BD" w:rsidRDefault="00D84926" w:rsidP="00A25229">
            <w:pPr>
              <w:spacing w:before="120" w:after="120"/>
              <w:jc w:val="center"/>
              <w:rPr>
                <w:color w:val="000000"/>
              </w:rPr>
            </w:pPr>
            <w:r w:rsidRPr="008A19BD">
              <w:rPr>
                <w:color w:val="000000"/>
              </w:rPr>
              <w:t>Rp. 10.000.000</w:t>
            </w:r>
          </w:p>
        </w:tc>
        <w:tc>
          <w:tcPr>
            <w:tcW w:w="1134" w:type="dxa"/>
            <w:vAlign w:val="center"/>
          </w:tcPr>
          <w:p w:rsidR="00D84926" w:rsidRPr="008A19BD" w:rsidRDefault="00D84926" w:rsidP="00A25229">
            <w:pPr>
              <w:spacing w:before="120" w:after="120"/>
              <w:jc w:val="center"/>
              <w:rPr>
                <w:color w:val="000000"/>
              </w:rPr>
            </w:pPr>
            <w:r w:rsidRPr="008A19BD">
              <w:rPr>
                <w:color w:val="000000"/>
              </w:rPr>
              <w:t>Rp. 318.879,9853</w:t>
            </w:r>
          </w:p>
        </w:tc>
      </w:tr>
      <w:tr w:rsidR="00D84926" w:rsidRPr="008A19BD" w:rsidTr="00E23B55">
        <w:tc>
          <w:tcPr>
            <w:tcW w:w="791" w:type="dxa"/>
            <w:vAlign w:val="center"/>
          </w:tcPr>
          <w:p w:rsidR="00D84926" w:rsidRPr="008A19BD" w:rsidRDefault="00D84926" w:rsidP="00A25229">
            <w:pPr>
              <w:spacing w:before="120" w:after="120"/>
              <w:jc w:val="center"/>
              <w:rPr>
                <w:color w:val="000000"/>
              </w:rPr>
            </w:pPr>
            <w:r w:rsidRPr="008A19BD">
              <w:rPr>
                <w:color w:val="000000"/>
              </w:rPr>
              <w:t>35</w:t>
            </w:r>
          </w:p>
        </w:tc>
        <w:tc>
          <w:tcPr>
            <w:tcW w:w="1477" w:type="dxa"/>
            <w:vMerge/>
            <w:vAlign w:val="center"/>
          </w:tcPr>
          <w:p w:rsidR="00D84926" w:rsidRPr="008A19BD" w:rsidRDefault="00D84926" w:rsidP="00A25229">
            <w:pPr>
              <w:spacing w:before="120" w:after="120"/>
              <w:jc w:val="center"/>
              <w:rPr>
                <w:color w:val="000000"/>
              </w:rPr>
            </w:pPr>
          </w:p>
        </w:tc>
        <w:tc>
          <w:tcPr>
            <w:tcW w:w="1276" w:type="dxa"/>
            <w:vMerge/>
            <w:vAlign w:val="center"/>
          </w:tcPr>
          <w:p w:rsidR="00D84926" w:rsidRPr="008A19BD" w:rsidRDefault="00D84926" w:rsidP="00A25229">
            <w:pPr>
              <w:spacing w:before="120" w:after="120"/>
              <w:jc w:val="center"/>
              <w:rPr>
                <w:color w:val="000000"/>
              </w:rPr>
            </w:pPr>
          </w:p>
        </w:tc>
        <w:tc>
          <w:tcPr>
            <w:tcW w:w="1134" w:type="dxa"/>
            <w:vAlign w:val="center"/>
          </w:tcPr>
          <w:p w:rsidR="00D84926" w:rsidRPr="008A19BD" w:rsidRDefault="00D84926" w:rsidP="00A25229">
            <w:pPr>
              <w:spacing w:before="120" w:after="120"/>
              <w:jc w:val="center"/>
              <w:rPr>
                <w:color w:val="000000"/>
              </w:rPr>
            </w:pPr>
            <w:r w:rsidRPr="008A19BD">
              <w:rPr>
                <w:color w:val="000000"/>
              </w:rPr>
              <w:t>Rp. 321.908,9411</w:t>
            </w:r>
          </w:p>
        </w:tc>
      </w:tr>
      <w:tr w:rsidR="00D84926" w:rsidRPr="008A19BD" w:rsidTr="00E23B55">
        <w:tc>
          <w:tcPr>
            <w:tcW w:w="791" w:type="dxa"/>
            <w:vAlign w:val="center"/>
          </w:tcPr>
          <w:p w:rsidR="00D84926" w:rsidRPr="008A19BD" w:rsidRDefault="00D84926" w:rsidP="00A25229">
            <w:pPr>
              <w:spacing w:before="120" w:after="120"/>
              <w:jc w:val="center"/>
              <w:rPr>
                <w:color w:val="000000"/>
              </w:rPr>
            </w:pPr>
            <w:r w:rsidRPr="008A19BD">
              <w:rPr>
                <w:color w:val="000000"/>
              </w:rPr>
              <w:t>40</w:t>
            </w:r>
          </w:p>
        </w:tc>
        <w:tc>
          <w:tcPr>
            <w:tcW w:w="1477" w:type="dxa"/>
            <w:vMerge/>
            <w:vAlign w:val="center"/>
          </w:tcPr>
          <w:p w:rsidR="00D84926" w:rsidRPr="008A19BD" w:rsidRDefault="00D84926" w:rsidP="00A25229">
            <w:pPr>
              <w:spacing w:before="120" w:after="120"/>
              <w:jc w:val="center"/>
              <w:rPr>
                <w:color w:val="000000"/>
              </w:rPr>
            </w:pPr>
          </w:p>
        </w:tc>
        <w:tc>
          <w:tcPr>
            <w:tcW w:w="1276" w:type="dxa"/>
            <w:vMerge/>
            <w:vAlign w:val="center"/>
          </w:tcPr>
          <w:p w:rsidR="00D84926" w:rsidRPr="008A19BD" w:rsidRDefault="00D84926" w:rsidP="00A25229">
            <w:pPr>
              <w:spacing w:before="120" w:after="120"/>
              <w:jc w:val="center"/>
              <w:rPr>
                <w:color w:val="000000"/>
              </w:rPr>
            </w:pPr>
          </w:p>
        </w:tc>
        <w:tc>
          <w:tcPr>
            <w:tcW w:w="1134" w:type="dxa"/>
            <w:vAlign w:val="center"/>
          </w:tcPr>
          <w:p w:rsidR="00D84926" w:rsidRPr="008A19BD" w:rsidRDefault="00D84926" w:rsidP="00A25229">
            <w:pPr>
              <w:spacing w:before="120" w:after="120"/>
              <w:jc w:val="center"/>
              <w:rPr>
                <w:color w:val="000000"/>
              </w:rPr>
            </w:pPr>
            <w:r w:rsidRPr="008A19BD">
              <w:rPr>
                <w:color w:val="000000"/>
              </w:rPr>
              <w:t>Rp. 327.735,8065</w:t>
            </w:r>
          </w:p>
        </w:tc>
      </w:tr>
      <w:tr w:rsidR="00D84926" w:rsidRPr="008A19BD" w:rsidTr="00E23B55">
        <w:tc>
          <w:tcPr>
            <w:tcW w:w="791" w:type="dxa"/>
            <w:vAlign w:val="center"/>
          </w:tcPr>
          <w:p w:rsidR="00D84926" w:rsidRPr="008A19BD" w:rsidRDefault="00D84926" w:rsidP="00A25229">
            <w:pPr>
              <w:spacing w:before="120" w:after="120"/>
              <w:jc w:val="center"/>
              <w:rPr>
                <w:color w:val="000000"/>
              </w:rPr>
            </w:pPr>
            <w:r w:rsidRPr="008A19BD">
              <w:rPr>
                <w:color w:val="000000"/>
              </w:rPr>
              <w:t>45</w:t>
            </w:r>
          </w:p>
        </w:tc>
        <w:tc>
          <w:tcPr>
            <w:tcW w:w="1477" w:type="dxa"/>
            <w:vMerge/>
            <w:vAlign w:val="center"/>
          </w:tcPr>
          <w:p w:rsidR="00D84926" w:rsidRPr="008A19BD" w:rsidRDefault="00D84926" w:rsidP="00A25229">
            <w:pPr>
              <w:spacing w:before="120" w:after="120"/>
              <w:jc w:val="center"/>
              <w:rPr>
                <w:color w:val="000000"/>
              </w:rPr>
            </w:pPr>
          </w:p>
        </w:tc>
        <w:tc>
          <w:tcPr>
            <w:tcW w:w="1276" w:type="dxa"/>
            <w:vMerge/>
            <w:vAlign w:val="center"/>
          </w:tcPr>
          <w:p w:rsidR="00D84926" w:rsidRPr="008A19BD" w:rsidRDefault="00D84926" w:rsidP="00A25229">
            <w:pPr>
              <w:spacing w:before="120" w:after="120"/>
              <w:jc w:val="center"/>
              <w:rPr>
                <w:color w:val="000000"/>
              </w:rPr>
            </w:pPr>
          </w:p>
        </w:tc>
        <w:tc>
          <w:tcPr>
            <w:tcW w:w="1134" w:type="dxa"/>
            <w:vAlign w:val="center"/>
          </w:tcPr>
          <w:p w:rsidR="00D84926" w:rsidRPr="008A19BD" w:rsidRDefault="00D84926" w:rsidP="00A25229">
            <w:pPr>
              <w:spacing w:before="120" w:after="120"/>
              <w:jc w:val="center"/>
              <w:rPr>
                <w:color w:val="000000"/>
              </w:rPr>
            </w:pPr>
            <w:r w:rsidRPr="008A19BD">
              <w:rPr>
                <w:color w:val="000000"/>
              </w:rPr>
              <w:t>Rp. 337.319,9</w:t>
            </w:r>
            <w:r w:rsidRPr="008A19BD">
              <w:rPr>
                <w:color w:val="000000"/>
              </w:rPr>
              <w:lastRenderedPageBreak/>
              <w:t>285</w:t>
            </w:r>
          </w:p>
        </w:tc>
      </w:tr>
    </w:tbl>
    <w:p w:rsidR="00E23B55" w:rsidRDefault="00E23B55" w:rsidP="00D16DA8">
      <w:pPr>
        <w:pStyle w:val="ListParagraph"/>
        <w:tabs>
          <w:tab w:val="left" w:pos="426"/>
        </w:tabs>
        <w:spacing w:before="0" w:after="0"/>
        <w:ind w:left="0"/>
        <w:rPr>
          <w:rFonts w:eastAsiaTheme="minorEastAsia"/>
          <w:b/>
          <w:sz w:val="22"/>
        </w:rPr>
      </w:pPr>
    </w:p>
    <w:p w:rsidR="00A326F1" w:rsidRPr="008A19BD" w:rsidRDefault="00A326F1" w:rsidP="00D66D2D">
      <w:pPr>
        <w:pStyle w:val="Heading3"/>
        <w:rPr>
          <w:rFonts w:eastAsiaTheme="minorEastAsia"/>
        </w:rPr>
      </w:pPr>
      <w:r w:rsidRPr="008A19BD">
        <w:rPr>
          <w:rFonts w:eastAsiaTheme="minorEastAsia"/>
        </w:rPr>
        <w:t>MENGHITUNG NILAI PREMI PADA TAHUN PERTAMA</w:t>
      </w:r>
    </w:p>
    <w:p w:rsidR="005231A3" w:rsidRPr="008A19BD" w:rsidRDefault="005231A3" w:rsidP="00D16DA8">
      <w:pPr>
        <w:rPr>
          <w:rFonts w:eastAsiaTheme="minorEastAsia"/>
        </w:rPr>
      </w:pPr>
      <w:r w:rsidRPr="008A19BD">
        <w:rPr>
          <w:rFonts w:eastAsiaTheme="minorEastAsia"/>
        </w:rPr>
        <w:t xml:space="preserve">Untuk menghitung nilai premi pada tahun pertama </w:t>
      </w:r>
      <w:r w:rsidR="000F03CB">
        <w:rPr>
          <w:rFonts w:eastAsiaTheme="minorEastAsia"/>
        </w:rPr>
        <w:t xml:space="preserve">dengan mengacu pada rumus </w:t>
      </w:r>
      <w:r w:rsidR="00A326F1" w:rsidRPr="008A19BD">
        <w:rPr>
          <w:rFonts w:eastAsiaTheme="minorEastAsia"/>
        </w:rPr>
        <w:t>(2.10)</w:t>
      </w:r>
      <w:r w:rsidR="000F03CB">
        <w:rPr>
          <w:rFonts w:eastAsiaTheme="minorEastAsia"/>
        </w:rPr>
        <w:t xml:space="preserve"> dengan menggunakan data peserta auransi Tabel 4.1, maka didapat premi pada tahun pertama secara berturut-turut yang tertera pada Tabel 4.5 sebagai berikut:</w:t>
      </w:r>
    </w:p>
    <w:p w:rsidR="005231A3" w:rsidRPr="008A19BD" w:rsidRDefault="005231A3" w:rsidP="00D16DA8">
      <w:pPr>
        <w:rPr>
          <w:rFonts w:eastAsiaTheme="minorEastAsia"/>
        </w:rPr>
      </w:pPr>
      <w:r w:rsidRPr="008A19BD">
        <w:rPr>
          <w:rFonts w:eastAsiaTheme="minorEastAsia"/>
        </w:rPr>
        <w:t>Tabel 4.5 Premi Tahun Pertama Asuransi Jiwa</w:t>
      </w:r>
    </w:p>
    <w:tbl>
      <w:tblPr>
        <w:tblStyle w:val="TableGrid"/>
        <w:tblW w:w="4678" w:type="dxa"/>
        <w:tblInd w:w="108" w:type="dxa"/>
        <w:tblLayout w:type="fixed"/>
        <w:tblLook w:val="04A0"/>
      </w:tblPr>
      <w:tblGrid>
        <w:gridCol w:w="567"/>
        <w:gridCol w:w="1134"/>
        <w:gridCol w:w="1418"/>
        <w:gridCol w:w="1559"/>
      </w:tblGrid>
      <w:tr w:rsidR="001B0023" w:rsidRPr="008A19BD" w:rsidTr="00A900A2">
        <w:tc>
          <w:tcPr>
            <w:tcW w:w="567" w:type="dxa"/>
            <w:vAlign w:val="center"/>
          </w:tcPr>
          <w:p w:rsidR="001B0023" w:rsidRPr="008A19BD" w:rsidRDefault="001B0023" w:rsidP="00A25229">
            <w:pPr>
              <w:spacing w:before="120" w:after="120"/>
              <w:jc w:val="center"/>
              <w:rPr>
                <w:color w:val="000000"/>
              </w:rPr>
            </w:pPr>
            <w:r w:rsidRPr="008A19BD">
              <w:rPr>
                <w:color w:val="000000"/>
              </w:rPr>
              <w:t>Usia (x)</w:t>
            </w:r>
          </w:p>
        </w:tc>
        <w:tc>
          <w:tcPr>
            <w:tcW w:w="1134" w:type="dxa"/>
            <w:vAlign w:val="center"/>
          </w:tcPr>
          <w:p w:rsidR="001B0023" w:rsidRPr="008A19BD" w:rsidRDefault="001B0023" w:rsidP="00A25229">
            <w:pPr>
              <w:spacing w:before="120" w:after="120"/>
              <w:jc w:val="center"/>
              <w:rPr>
                <w:color w:val="000000"/>
              </w:rPr>
            </w:pPr>
            <w:r w:rsidRPr="008A19BD">
              <w:rPr>
                <w:color w:val="000000"/>
              </w:rPr>
              <w:t>Jangka Waktu Pertanggungan (n)</w:t>
            </w:r>
          </w:p>
        </w:tc>
        <w:tc>
          <w:tcPr>
            <w:tcW w:w="1418" w:type="dxa"/>
            <w:vAlign w:val="center"/>
          </w:tcPr>
          <w:p w:rsidR="001B0023" w:rsidRPr="008A19BD" w:rsidRDefault="001B0023" w:rsidP="00A25229">
            <w:pPr>
              <w:spacing w:before="120" w:after="120"/>
              <w:jc w:val="center"/>
              <w:rPr>
                <w:color w:val="000000"/>
              </w:rPr>
            </w:pPr>
            <w:r w:rsidRPr="008A19BD">
              <w:rPr>
                <w:color w:val="000000"/>
              </w:rPr>
              <w:t>Besar Santunan</w:t>
            </w:r>
          </w:p>
        </w:tc>
        <w:tc>
          <w:tcPr>
            <w:tcW w:w="1559" w:type="dxa"/>
            <w:vAlign w:val="center"/>
          </w:tcPr>
          <w:p w:rsidR="001B0023" w:rsidRPr="008A19BD" w:rsidRDefault="001B0023" w:rsidP="00A25229">
            <w:pPr>
              <w:spacing w:before="120" w:after="120"/>
              <w:jc w:val="center"/>
              <w:rPr>
                <w:color w:val="000000"/>
              </w:rPr>
            </w:pPr>
            <w:r w:rsidRPr="008A19BD">
              <w:rPr>
                <w:color w:val="000000"/>
              </w:rPr>
              <w:t>Premi Tahun Pertama</w:t>
            </w:r>
          </w:p>
        </w:tc>
      </w:tr>
      <w:tr w:rsidR="001B0023" w:rsidRPr="008A19BD" w:rsidTr="00A900A2">
        <w:tc>
          <w:tcPr>
            <w:tcW w:w="567" w:type="dxa"/>
            <w:vAlign w:val="center"/>
          </w:tcPr>
          <w:p w:rsidR="001B0023" w:rsidRPr="008A19BD" w:rsidRDefault="001B0023" w:rsidP="00A25229">
            <w:pPr>
              <w:spacing w:before="120" w:after="120"/>
              <w:jc w:val="center"/>
              <w:rPr>
                <w:color w:val="000000"/>
              </w:rPr>
            </w:pPr>
            <w:r w:rsidRPr="008A19BD">
              <w:rPr>
                <w:color w:val="000000"/>
              </w:rPr>
              <w:t>30</w:t>
            </w:r>
          </w:p>
        </w:tc>
        <w:tc>
          <w:tcPr>
            <w:tcW w:w="1134" w:type="dxa"/>
            <w:vMerge w:val="restart"/>
            <w:vAlign w:val="center"/>
          </w:tcPr>
          <w:p w:rsidR="001B0023" w:rsidRPr="008A19BD" w:rsidRDefault="001B0023" w:rsidP="00A25229">
            <w:pPr>
              <w:spacing w:before="120" w:after="120"/>
              <w:jc w:val="center"/>
              <w:rPr>
                <w:color w:val="000000"/>
              </w:rPr>
            </w:pPr>
            <w:r w:rsidRPr="008A19BD">
              <w:rPr>
                <w:color w:val="000000"/>
              </w:rPr>
              <w:t>20</w:t>
            </w:r>
          </w:p>
        </w:tc>
        <w:tc>
          <w:tcPr>
            <w:tcW w:w="1418" w:type="dxa"/>
            <w:vMerge w:val="restart"/>
            <w:vAlign w:val="center"/>
          </w:tcPr>
          <w:p w:rsidR="001B0023" w:rsidRPr="008A19BD" w:rsidRDefault="001B0023" w:rsidP="00A25229">
            <w:pPr>
              <w:spacing w:before="120" w:after="120"/>
              <w:jc w:val="center"/>
              <w:rPr>
                <w:color w:val="000000"/>
              </w:rPr>
            </w:pPr>
            <w:r w:rsidRPr="008A19BD">
              <w:rPr>
                <w:color w:val="000000"/>
              </w:rPr>
              <w:t>Rp. 10.000.000</w:t>
            </w:r>
          </w:p>
        </w:tc>
        <w:tc>
          <w:tcPr>
            <w:tcW w:w="1559" w:type="dxa"/>
            <w:vAlign w:val="center"/>
          </w:tcPr>
          <w:p w:rsidR="001B0023" w:rsidRPr="008A19BD" w:rsidRDefault="001B0023" w:rsidP="00A25229">
            <w:pPr>
              <w:spacing w:before="120" w:after="120"/>
              <w:jc w:val="center"/>
              <w:rPr>
                <w:color w:val="000000"/>
              </w:rPr>
            </w:pPr>
            <w:r w:rsidRPr="008A19BD">
              <w:rPr>
                <w:color w:val="000000"/>
              </w:rPr>
              <w:t>Rp. 5.179,856115</w:t>
            </w:r>
          </w:p>
        </w:tc>
      </w:tr>
      <w:tr w:rsidR="001B0023" w:rsidRPr="008A19BD" w:rsidTr="00A900A2">
        <w:tc>
          <w:tcPr>
            <w:tcW w:w="567" w:type="dxa"/>
            <w:vAlign w:val="center"/>
          </w:tcPr>
          <w:p w:rsidR="001B0023" w:rsidRPr="008A19BD" w:rsidRDefault="001B0023" w:rsidP="00A25229">
            <w:pPr>
              <w:spacing w:before="120" w:after="120"/>
              <w:jc w:val="center"/>
              <w:rPr>
                <w:color w:val="000000"/>
              </w:rPr>
            </w:pPr>
            <w:r w:rsidRPr="008A19BD">
              <w:rPr>
                <w:color w:val="000000"/>
              </w:rPr>
              <w:t>35</w:t>
            </w:r>
          </w:p>
        </w:tc>
        <w:tc>
          <w:tcPr>
            <w:tcW w:w="1134" w:type="dxa"/>
            <w:vMerge/>
            <w:vAlign w:val="center"/>
          </w:tcPr>
          <w:p w:rsidR="001B0023" w:rsidRPr="008A19BD" w:rsidRDefault="001B0023" w:rsidP="00A25229">
            <w:pPr>
              <w:spacing w:before="120" w:after="120"/>
              <w:jc w:val="center"/>
              <w:rPr>
                <w:color w:val="000000"/>
              </w:rPr>
            </w:pPr>
          </w:p>
        </w:tc>
        <w:tc>
          <w:tcPr>
            <w:tcW w:w="1418" w:type="dxa"/>
            <w:vMerge/>
            <w:vAlign w:val="center"/>
          </w:tcPr>
          <w:p w:rsidR="001B0023" w:rsidRPr="008A19BD" w:rsidRDefault="001B0023" w:rsidP="00A25229">
            <w:pPr>
              <w:spacing w:before="120" w:after="120"/>
              <w:jc w:val="center"/>
              <w:rPr>
                <w:color w:val="000000"/>
              </w:rPr>
            </w:pPr>
          </w:p>
        </w:tc>
        <w:tc>
          <w:tcPr>
            <w:tcW w:w="1559" w:type="dxa"/>
            <w:vAlign w:val="center"/>
          </w:tcPr>
          <w:p w:rsidR="001B0023" w:rsidRPr="008A19BD" w:rsidRDefault="001B0023" w:rsidP="00A25229">
            <w:pPr>
              <w:spacing w:before="120" w:after="120"/>
              <w:jc w:val="center"/>
              <w:rPr>
                <w:color w:val="000000"/>
              </w:rPr>
            </w:pPr>
            <w:r w:rsidRPr="008A19BD">
              <w:rPr>
                <w:color w:val="000000"/>
              </w:rPr>
              <w:t>Rp. 6.426,858513</w:t>
            </w:r>
          </w:p>
        </w:tc>
      </w:tr>
      <w:tr w:rsidR="001B0023" w:rsidRPr="008A19BD" w:rsidTr="00A900A2">
        <w:tc>
          <w:tcPr>
            <w:tcW w:w="567" w:type="dxa"/>
            <w:vAlign w:val="center"/>
          </w:tcPr>
          <w:p w:rsidR="001B0023" w:rsidRPr="008A19BD" w:rsidRDefault="001B0023" w:rsidP="00A25229">
            <w:pPr>
              <w:spacing w:before="120" w:after="120"/>
              <w:jc w:val="center"/>
              <w:rPr>
                <w:color w:val="000000"/>
              </w:rPr>
            </w:pPr>
            <w:r w:rsidRPr="008A19BD">
              <w:rPr>
                <w:color w:val="000000"/>
              </w:rPr>
              <w:t>40</w:t>
            </w:r>
          </w:p>
        </w:tc>
        <w:tc>
          <w:tcPr>
            <w:tcW w:w="1134" w:type="dxa"/>
            <w:vMerge/>
            <w:vAlign w:val="center"/>
          </w:tcPr>
          <w:p w:rsidR="001B0023" w:rsidRPr="008A19BD" w:rsidRDefault="001B0023" w:rsidP="00A25229">
            <w:pPr>
              <w:spacing w:before="120" w:after="120"/>
              <w:jc w:val="center"/>
              <w:rPr>
                <w:color w:val="000000"/>
              </w:rPr>
            </w:pPr>
          </w:p>
        </w:tc>
        <w:tc>
          <w:tcPr>
            <w:tcW w:w="1418" w:type="dxa"/>
            <w:vMerge/>
            <w:vAlign w:val="center"/>
          </w:tcPr>
          <w:p w:rsidR="001B0023" w:rsidRPr="008A19BD" w:rsidRDefault="001B0023" w:rsidP="00A25229">
            <w:pPr>
              <w:spacing w:before="120" w:after="120"/>
              <w:jc w:val="center"/>
              <w:rPr>
                <w:color w:val="000000"/>
              </w:rPr>
            </w:pPr>
          </w:p>
        </w:tc>
        <w:tc>
          <w:tcPr>
            <w:tcW w:w="1559" w:type="dxa"/>
            <w:vAlign w:val="center"/>
          </w:tcPr>
          <w:p w:rsidR="001B0023" w:rsidRPr="008A19BD" w:rsidRDefault="001B0023" w:rsidP="00A25229">
            <w:pPr>
              <w:spacing w:before="120" w:after="120"/>
              <w:jc w:val="center"/>
              <w:rPr>
                <w:color w:val="000000"/>
              </w:rPr>
            </w:pPr>
            <w:r w:rsidRPr="008A19BD">
              <w:rPr>
                <w:color w:val="000000"/>
              </w:rPr>
              <w:t>Rp.   10.935,2518</w:t>
            </w:r>
          </w:p>
        </w:tc>
      </w:tr>
      <w:tr w:rsidR="001B0023" w:rsidRPr="008A19BD" w:rsidTr="00A900A2">
        <w:tc>
          <w:tcPr>
            <w:tcW w:w="567" w:type="dxa"/>
            <w:vAlign w:val="center"/>
          </w:tcPr>
          <w:p w:rsidR="001B0023" w:rsidRPr="008A19BD" w:rsidRDefault="001B0023" w:rsidP="00A25229">
            <w:pPr>
              <w:spacing w:before="120" w:after="120"/>
              <w:jc w:val="center"/>
              <w:rPr>
                <w:color w:val="000000"/>
              </w:rPr>
            </w:pPr>
            <w:r w:rsidRPr="008A19BD">
              <w:rPr>
                <w:color w:val="000000"/>
              </w:rPr>
              <w:t>45</w:t>
            </w:r>
          </w:p>
        </w:tc>
        <w:tc>
          <w:tcPr>
            <w:tcW w:w="1134" w:type="dxa"/>
            <w:vMerge/>
            <w:vAlign w:val="center"/>
          </w:tcPr>
          <w:p w:rsidR="001B0023" w:rsidRPr="008A19BD" w:rsidRDefault="001B0023" w:rsidP="00A25229">
            <w:pPr>
              <w:spacing w:before="120" w:after="120"/>
              <w:jc w:val="center"/>
              <w:rPr>
                <w:color w:val="000000"/>
              </w:rPr>
            </w:pPr>
          </w:p>
        </w:tc>
        <w:tc>
          <w:tcPr>
            <w:tcW w:w="1418" w:type="dxa"/>
            <w:vMerge/>
            <w:vAlign w:val="center"/>
          </w:tcPr>
          <w:p w:rsidR="001B0023" w:rsidRPr="008A19BD" w:rsidRDefault="001B0023" w:rsidP="00A25229">
            <w:pPr>
              <w:spacing w:before="120" w:after="120"/>
              <w:jc w:val="center"/>
              <w:rPr>
                <w:color w:val="000000"/>
              </w:rPr>
            </w:pPr>
          </w:p>
        </w:tc>
        <w:tc>
          <w:tcPr>
            <w:tcW w:w="1559" w:type="dxa"/>
            <w:vAlign w:val="center"/>
          </w:tcPr>
          <w:p w:rsidR="001B0023" w:rsidRPr="008A19BD" w:rsidRDefault="001B0023" w:rsidP="00A25229">
            <w:pPr>
              <w:spacing w:before="120" w:after="120"/>
              <w:jc w:val="center"/>
              <w:rPr>
                <w:color w:val="000000"/>
              </w:rPr>
            </w:pPr>
            <w:r w:rsidRPr="008A19BD">
              <w:rPr>
                <w:color w:val="000000"/>
              </w:rPr>
              <w:t>Rp. 18.513,18945</w:t>
            </w:r>
          </w:p>
        </w:tc>
      </w:tr>
    </w:tbl>
    <w:p w:rsidR="006E2AB1" w:rsidRPr="008A19BD" w:rsidRDefault="006E2AB1" w:rsidP="00A25229">
      <w:pPr>
        <w:spacing w:after="120"/>
        <w:rPr>
          <w:color w:val="000000"/>
          <w:sz w:val="22"/>
        </w:rPr>
      </w:pPr>
    </w:p>
    <w:p w:rsidR="00A900A2" w:rsidRPr="008A19BD" w:rsidRDefault="00A900A2" w:rsidP="00D66D2D">
      <w:pPr>
        <w:pStyle w:val="Heading3"/>
        <w:rPr>
          <w:rFonts w:eastAsiaTheme="minorEastAsia"/>
        </w:rPr>
      </w:pPr>
      <w:r w:rsidRPr="008A19BD">
        <w:rPr>
          <w:rFonts w:eastAsiaTheme="minorEastAsia"/>
        </w:rPr>
        <w:t>MENGHITUNG BESARNYA PREMI BERSIH UNTUK TAHUN KE-2 SAMPAI DENGAN TAHUN KE-20</w:t>
      </w:r>
    </w:p>
    <w:p w:rsidR="00D6719F" w:rsidRDefault="005231A3" w:rsidP="00D16DA8">
      <w:pPr>
        <w:rPr>
          <w:rFonts w:eastAsiaTheme="minorEastAsia"/>
        </w:rPr>
      </w:pPr>
      <w:r w:rsidRPr="008A19BD">
        <w:rPr>
          <w:rFonts w:eastAsiaTheme="minorEastAsia"/>
        </w:rPr>
        <w:t>Sebelum menghitung besarnya premi bersih untuk tahun ke-2 sa</w:t>
      </w:r>
      <w:r w:rsidR="002E684C">
        <w:rPr>
          <w:rFonts w:eastAsiaTheme="minorEastAsia"/>
        </w:rPr>
        <w:t>mpai dengan tahun ke-20, dengan mencari terlebih dahulu</w:t>
      </w:r>
      <w:r w:rsidRPr="008A19BD">
        <w:rPr>
          <w:rFonts w:eastAsiaTheme="minorEastAsia"/>
        </w:rPr>
        <w:t xml:space="preserve"> nilai anuitas hidup berjangka akhir dengan jangka waktu 19 tahun</w:t>
      </w:r>
      <w:r w:rsidR="002E684C">
        <w:rPr>
          <w:rFonts w:eastAsiaTheme="minorEastAsia"/>
        </w:rPr>
        <w:t xml:space="preserve"> </w:t>
      </w:r>
      <w:r w:rsidRPr="008A19BD">
        <w:rPr>
          <w:rFonts w:eastAsiaTheme="minorEastAsia"/>
        </w:rPr>
        <w:t xml:space="preserve">yang dinotasikan dengan </w:t>
      </w:r>
      <m:oMath>
        <m:sSub>
          <m:sSubPr>
            <m:ctrlPr>
              <w:rPr>
                <w:rFonts w:ascii="Cambria Math" w:hAnsi="Cambria Math"/>
                <w:i/>
              </w:rPr>
            </m:ctrlPr>
          </m:sSubPr>
          <m:e>
            <m:r>
              <w:rPr>
                <w:rFonts w:ascii="Cambria Math" w:hAnsi="Cambria Math"/>
              </w:rPr>
              <m:t>a</m:t>
            </m:r>
          </m:e>
          <m:sub>
            <m:r>
              <w:rPr>
                <w:rFonts w:ascii="Cambria Math"/>
              </w:rPr>
              <m:t>x</m:t>
            </m:r>
            <m:r>
              <w:rPr>
                <w:rFonts w:ascii="Cambria Math" w:hAnsi="Cambria Math"/>
              </w:rPr>
              <m:t>:</m:t>
            </m:r>
            <m:acc>
              <m:accPr>
                <m:chr m:val="̅"/>
                <m:ctrlPr>
                  <w:rPr>
                    <w:rFonts w:ascii="Cambria Math" w:hAnsi="Cambria Math"/>
                    <w:i/>
                  </w:rPr>
                </m:ctrlPr>
              </m:accPr>
              <m:e>
                <m:r>
                  <w:rPr>
                    <w:rFonts w:ascii="Cambria Math" w:hAnsi="Cambria Math"/>
                  </w:rPr>
                  <m:t>19</m:t>
                </m:r>
              </m:e>
            </m:acc>
            <m:r>
              <w:rPr>
                <w:rFonts w:ascii="Cambria Math" w:hAnsi="Cambria Math"/>
              </w:rPr>
              <m:t>|</m:t>
            </m:r>
          </m:sub>
        </m:sSub>
      </m:oMath>
      <w:r w:rsidR="002E684C">
        <w:rPr>
          <w:rFonts w:eastAsiaTheme="minorEastAsia"/>
        </w:rPr>
        <w:t>.</w:t>
      </w:r>
      <w:r w:rsidRPr="008A19BD">
        <w:rPr>
          <w:rFonts w:eastAsiaTheme="minorEastAsia"/>
        </w:rPr>
        <w:t xml:space="preserve"> </w:t>
      </w:r>
      <w:r w:rsidR="002E684C">
        <w:rPr>
          <w:rFonts w:eastAsiaTheme="minorEastAsia"/>
        </w:rPr>
        <w:t>Setelah itu hitung</w:t>
      </w:r>
      <w:r w:rsidR="002E684C">
        <w:rPr>
          <w:color w:val="000000"/>
        </w:rPr>
        <w:t xml:space="preserve"> </w:t>
      </w:r>
      <w:r w:rsidRPr="008A19BD">
        <w:rPr>
          <w:rFonts w:eastAsiaTheme="minorEastAsia"/>
        </w:rPr>
        <w:t xml:space="preserve">besarnya premi bersih untuk tahun ke-2 sampai dengan tahun ke-20 yang </w:t>
      </w:r>
      <w:r w:rsidR="002E684C">
        <w:rPr>
          <w:rFonts w:eastAsiaTheme="minorEastAsia"/>
        </w:rPr>
        <w:t xml:space="preserve">mengacu pada </w:t>
      </w:r>
      <w:r w:rsidRPr="008A19BD">
        <w:rPr>
          <w:rFonts w:eastAsiaTheme="minorEastAsia"/>
        </w:rPr>
        <w:t xml:space="preserve">rumus </w:t>
      </w:r>
      <w:r w:rsidR="000D7B03" w:rsidRPr="008A19BD">
        <w:rPr>
          <w:rFonts w:eastAsiaTheme="minorEastAsia"/>
        </w:rPr>
        <w:t>(2.11)</w:t>
      </w:r>
      <w:r w:rsidR="002E684C">
        <w:rPr>
          <w:rFonts w:eastAsiaTheme="minorEastAsia"/>
        </w:rPr>
        <w:t xml:space="preserve"> dengan data Tabel 4.1, maka didapat premi bersih untuk tahun ke-2 sampai dengan tahun ke-20 secara berturut-turut tertera pada Tabel 4.6 sebagai berikut:</w:t>
      </w:r>
    </w:p>
    <w:p w:rsidR="0025462A" w:rsidRDefault="0025462A" w:rsidP="00D16DA8">
      <w:pPr>
        <w:rPr>
          <w:rFonts w:eastAsiaTheme="minorEastAsia"/>
        </w:rPr>
      </w:pPr>
    </w:p>
    <w:p w:rsidR="0025462A" w:rsidRDefault="0025462A" w:rsidP="00D16DA8">
      <w:pPr>
        <w:rPr>
          <w:rFonts w:eastAsiaTheme="minorEastAsia"/>
        </w:rPr>
      </w:pPr>
    </w:p>
    <w:p w:rsidR="0025462A" w:rsidRDefault="0025462A" w:rsidP="00D16DA8">
      <w:pPr>
        <w:rPr>
          <w:rFonts w:eastAsiaTheme="minorEastAsia"/>
        </w:rPr>
      </w:pPr>
    </w:p>
    <w:p w:rsidR="0025462A" w:rsidRDefault="0025462A" w:rsidP="00D16DA8">
      <w:pPr>
        <w:rPr>
          <w:rFonts w:eastAsiaTheme="minorEastAsia"/>
        </w:rPr>
      </w:pPr>
    </w:p>
    <w:p w:rsidR="0025462A" w:rsidRDefault="0025462A" w:rsidP="00D16DA8">
      <w:pPr>
        <w:rPr>
          <w:rFonts w:eastAsiaTheme="minorEastAsia"/>
        </w:rPr>
      </w:pPr>
    </w:p>
    <w:p w:rsidR="0025462A" w:rsidRPr="00D6719F" w:rsidRDefault="0025462A" w:rsidP="00D16DA8">
      <w:pPr>
        <w:rPr>
          <w:rFonts w:eastAsiaTheme="minorEastAsia"/>
        </w:rPr>
      </w:pPr>
    </w:p>
    <w:p w:rsidR="005231A3" w:rsidRPr="008A19BD" w:rsidRDefault="005231A3" w:rsidP="00D16DA8">
      <w:pPr>
        <w:rPr>
          <w:color w:val="000000"/>
        </w:rPr>
      </w:pPr>
      <w:r w:rsidRPr="008A19BD">
        <w:rPr>
          <w:color w:val="000000"/>
        </w:rPr>
        <w:lastRenderedPageBreak/>
        <w:t>Tabel 4.6 Premi pada Tahun ke-2 sampai dengan Tahun ke-20 Asuransi Jiwa</w:t>
      </w:r>
    </w:p>
    <w:tbl>
      <w:tblPr>
        <w:tblStyle w:val="TableGrid"/>
        <w:tblW w:w="4678" w:type="dxa"/>
        <w:tblInd w:w="108" w:type="dxa"/>
        <w:tblLayout w:type="fixed"/>
        <w:tblLook w:val="04A0"/>
      </w:tblPr>
      <w:tblGrid>
        <w:gridCol w:w="630"/>
        <w:gridCol w:w="1355"/>
        <w:gridCol w:w="1276"/>
        <w:gridCol w:w="1417"/>
      </w:tblGrid>
      <w:tr w:rsidR="005231A3" w:rsidRPr="008A19BD" w:rsidTr="002E684C">
        <w:tc>
          <w:tcPr>
            <w:tcW w:w="630" w:type="dxa"/>
            <w:vAlign w:val="center"/>
          </w:tcPr>
          <w:p w:rsidR="005231A3" w:rsidRPr="008A19BD" w:rsidRDefault="005231A3" w:rsidP="00A25229">
            <w:pPr>
              <w:spacing w:before="120" w:after="120"/>
              <w:jc w:val="center"/>
              <w:rPr>
                <w:color w:val="000000"/>
              </w:rPr>
            </w:pPr>
            <w:r w:rsidRPr="008A19BD">
              <w:rPr>
                <w:color w:val="000000"/>
              </w:rPr>
              <w:t>Usia (x)</w:t>
            </w:r>
          </w:p>
        </w:tc>
        <w:tc>
          <w:tcPr>
            <w:tcW w:w="1355" w:type="dxa"/>
            <w:vAlign w:val="center"/>
          </w:tcPr>
          <w:p w:rsidR="005231A3" w:rsidRPr="008A19BD" w:rsidRDefault="005231A3" w:rsidP="00A25229">
            <w:pPr>
              <w:spacing w:before="120" w:after="120"/>
              <w:jc w:val="center"/>
              <w:rPr>
                <w:color w:val="000000"/>
              </w:rPr>
            </w:pPr>
            <w:r w:rsidRPr="008A19BD">
              <w:rPr>
                <w:color w:val="000000"/>
              </w:rPr>
              <w:t>Jangka Waktu Pertanggungan (n)</w:t>
            </w:r>
          </w:p>
        </w:tc>
        <w:tc>
          <w:tcPr>
            <w:tcW w:w="1276" w:type="dxa"/>
            <w:vAlign w:val="center"/>
          </w:tcPr>
          <w:p w:rsidR="005231A3" w:rsidRPr="008A19BD" w:rsidRDefault="005231A3" w:rsidP="00A25229">
            <w:pPr>
              <w:spacing w:before="120" w:after="120"/>
              <w:jc w:val="center"/>
              <w:rPr>
                <w:color w:val="000000"/>
              </w:rPr>
            </w:pPr>
            <w:r w:rsidRPr="008A19BD">
              <w:rPr>
                <w:color w:val="000000"/>
              </w:rPr>
              <w:t>Besar Santunan</w:t>
            </w:r>
          </w:p>
        </w:tc>
        <w:tc>
          <w:tcPr>
            <w:tcW w:w="1417" w:type="dxa"/>
            <w:vAlign w:val="center"/>
          </w:tcPr>
          <w:p w:rsidR="005231A3" w:rsidRPr="008A19BD" w:rsidRDefault="005231A3" w:rsidP="00A25229">
            <w:pPr>
              <w:spacing w:before="120" w:after="120"/>
              <w:jc w:val="center"/>
              <w:rPr>
                <w:color w:val="000000"/>
              </w:rPr>
            </w:pPr>
            <w:r w:rsidRPr="008A19BD">
              <w:rPr>
                <w:color w:val="000000"/>
              </w:rPr>
              <w:t>Premi pada Tahun ke-2 sampai tahun ke-20</w:t>
            </w:r>
          </w:p>
        </w:tc>
      </w:tr>
      <w:tr w:rsidR="005231A3" w:rsidRPr="008A19BD" w:rsidTr="002E684C">
        <w:tc>
          <w:tcPr>
            <w:tcW w:w="630" w:type="dxa"/>
            <w:vAlign w:val="center"/>
          </w:tcPr>
          <w:p w:rsidR="005231A3" w:rsidRPr="008A19BD" w:rsidRDefault="005231A3" w:rsidP="00A25229">
            <w:pPr>
              <w:spacing w:before="120" w:after="120"/>
              <w:jc w:val="center"/>
              <w:rPr>
                <w:color w:val="000000"/>
              </w:rPr>
            </w:pPr>
            <w:r w:rsidRPr="008A19BD">
              <w:rPr>
                <w:color w:val="000000"/>
              </w:rPr>
              <w:t>30</w:t>
            </w:r>
          </w:p>
        </w:tc>
        <w:tc>
          <w:tcPr>
            <w:tcW w:w="1355" w:type="dxa"/>
            <w:vMerge w:val="restart"/>
            <w:vAlign w:val="center"/>
          </w:tcPr>
          <w:p w:rsidR="005231A3" w:rsidRPr="008A19BD" w:rsidRDefault="005231A3" w:rsidP="00A25229">
            <w:pPr>
              <w:spacing w:before="120" w:after="120"/>
              <w:jc w:val="center"/>
              <w:rPr>
                <w:color w:val="000000"/>
              </w:rPr>
            </w:pPr>
            <w:r w:rsidRPr="008A19BD">
              <w:rPr>
                <w:color w:val="000000"/>
              </w:rPr>
              <w:t>20</w:t>
            </w:r>
          </w:p>
        </w:tc>
        <w:tc>
          <w:tcPr>
            <w:tcW w:w="1276" w:type="dxa"/>
            <w:vMerge w:val="restart"/>
            <w:vAlign w:val="center"/>
          </w:tcPr>
          <w:p w:rsidR="005231A3" w:rsidRPr="008A19BD" w:rsidRDefault="005231A3" w:rsidP="00A25229">
            <w:pPr>
              <w:spacing w:before="120" w:after="120"/>
              <w:jc w:val="center"/>
              <w:rPr>
                <w:color w:val="000000"/>
              </w:rPr>
            </w:pPr>
            <w:r w:rsidRPr="008A19BD">
              <w:rPr>
                <w:color w:val="000000"/>
              </w:rPr>
              <w:t>Rp. 10.000.000</w:t>
            </w:r>
          </w:p>
        </w:tc>
        <w:tc>
          <w:tcPr>
            <w:tcW w:w="1417" w:type="dxa"/>
            <w:vAlign w:val="center"/>
          </w:tcPr>
          <w:p w:rsidR="005231A3" w:rsidRPr="008A19BD" w:rsidRDefault="005231A3" w:rsidP="00A25229">
            <w:pPr>
              <w:spacing w:before="120" w:after="120"/>
              <w:jc w:val="center"/>
              <w:rPr>
                <w:color w:val="000000"/>
              </w:rPr>
            </w:pPr>
            <w:r w:rsidRPr="008A19BD">
              <w:rPr>
                <w:color w:val="000000"/>
              </w:rPr>
              <w:t>Rp. 343.457,6915</w:t>
            </w:r>
          </w:p>
        </w:tc>
      </w:tr>
      <w:tr w:rsidR="005231A3" w:rsidRPr="008A19BD" w:rsidTr="002E684C">
        <w:tc>
          <w:tcPr>
            <w:tcW w:w="630" w:type="dxa"/>
            <w:vAlign w:val="center"/>
          </w:tcPr>
          <w:p w:rsidR="005231A3" w:rsidRPr="008A19BD" w:rsidRDefault="005231A3" w:rsidP="00A25229">
            <w:pPr>
              <w:spacing w:before="120" w:after="120"/>
              <w:jc w:val="center"/>
              <w:rPr>
                <w:color w:val="000000"/>
              </w:rPr>
            </w:pPr>
            <w:r w:rsidRPr="008A19BD">
              <w:rPr>
                <w:color w:val="000000"/>
              </w:rPr>
              <w:t>35</w:t>
            </w:r>
          </w:p>
        </w:tc>
        <w:tc>
          <w:tcPr>
            <w:tcW w:w="1355" w:type="dxa"/>
            <w:vMerge/>
            <w:vAlign w:val="center"/>
          </w:tcPr>
          <w:p w:rsidR="005231A3" w:rsidRPr="008A19BD" w:rsidRDefault="005231A3" w:rsidP="00A25229">
            <w:pPr>
              <w:spacing w:before="120" w:after="120"/>
              <w:jc w:val="center"/>
              <w:rPr>
                <w:color w:val="000000"/>
              </w:rPr>
            </w:pPr>
          </w:p>
        </w:tc>
        <w:tc>
          <w:tcPr>
            <w:tcW w:w="1276" w:type="dxa"/>
            <w:vMerge/>
            <w:vAlign w:val="center"/>
          </w:tcPr>
          <w:p w:rsidR="005231A3" w:rsidRPr="008A19BD" w:rsidRDefault="005231A3" w:rsidP="00A25229">
            <w:pPr>
              <w:spacing w:before="120" w:after="120"/>
              <w:jc w:val="center"/>
              <w:rPr>
                <w:color w:val="000000"/>
              </w:rPr>
            </w:pPr>
          </w:p>
        </w:tc>
        <w:tc>
          <w:tcPr>
            <w:tcW w:w="1417" w:type="dxa"/>
            <w:vAlign w:val="center"/>
          </w:tcPr>
          <w:p w:rsidR="005231A3" w:rsidRPr="008A19BD" w:rsidRDefault="005231A3" w:rsidP="00A25229">
            <w:pPr>
              <w:spacing w:before="120" w:after="120"/>
              <w:jc w:val="center"/>
              <w:rPr>
                <w:color w:val="000000"/>
              </w:rPr>
            </w:pPr>
            <w:r w:rsidRPr="008A19BD">
              <w:rPr>
                <w:color w:val="000000"/>
              </w:rPr>
              <w:t>Rp. 346.737,414</w:t>
            </w:r>
          </w:p>
        </w:tc>
      </w:tr>
      <w:tr w:rsidR="005231A3" w:rsidRPr="008A19BD" w:rsidTr="002E684C">
        <w:tc>
          <w:tcPr>
            <w:tcW w:w="630" w:type="dxa"/>
            <w:vAlign w:val="center"/>
          </w:tcPr>
          <w:p w:rsidR="005231A3" w:rsidRPr="008A19BD" w:rsidRDefault="005231A3" w:rsidP="00A25229">
            <w:pPr>
              <w:spacing w:before="120" w:after="120"/>
              <w:jc w:val="center"/>
              <w:rPr>
                <w:color w:val="000000"/>
              </w:rPr>
            </w:pPr>
            <w:r w:rsidRPr="008A19BD">
              <w:rPr>
                <w:color w:val="000000"/>
              </w:rPr>
              <w:t>40</w:t>
            </w:r>
          </w:p>
        </w:tc>
        <w:tc>
          <w:tcPr>
            <w:tcW w:w="1355" w:type="dxa"/>
            <w:vMerge/>
            <w:vAlign w:val="center"/>
          </w:tcPr>
          <w:p w:rsidR="005231A3" w:rsidRPr="008A19BD" w:rsidRDefault="005231A3" w:rsidP="00A25229">
            <w:pPr>
              <w:spacing w:before="120" w:after="120"/>
              <w:jc w:val="center"/>
              <w:rPr>
                <w:color w:val="000000"/>
              </w:rPr>
            </w:pPr>
          </w:p>
        </w:tc>
        <w:tc>
          <w:tcPr>
            <w:tcW w:w="1276" w:type="dxa"/>
            <w:vMerge/>
            <w:vAlign w:val="center"/>
          </w:tcPr>
          <w:p w:rsidR="005231A3" w:rsidRPr="008A19BD" w:rsidRDefault="005231A3" w:rsidP="00A25229">
            <w:pPr>
              <w:spacing w:before="120" w:after="120"/>
              <w:jc w:val="center"/>
              <w:rPr>
                <w:color w:val="000000"/>
              </w:rPr>
            </w:pPr>
          </w:p>
        </w:tc>
        <w:tc>
          <w:tcPr>
            <w:tcW w:w="1417" w:type="dxa"/>
            <w:vAlign w:val="center"/>
          </w:tcPr>
          <w:p w:rsidR="005231A3" w:rsidRPr="008A19BD" w:rsidRDefault="005231A3" w:rsidP="00A25229">
            <w:pPr>
              <w:spacing w:before="120" w:after="120"/>
              <w:jc w:val="center"/>
              <w:rPr>
                <w:color w:val="000000"/>
              </w:rPr>
            </w:pPr>
            <w:r w:rsidRPr="008A19BD">
              <w:rPr>
                <w:color w:val="000000"/>
              </w:rPr>
              <w:t>Rp. 352.882,9725</w:t>
            </w:r>
          </w:p>
        </w:tc>
      </w:tr>
      <w:tr w:rsidR="005231A3" w:rsidRPr="008A19BD" w:rsidTr="002E684C">
        <w:tc>
          <w:tcPr>
            <w:tcW w:w="630" w:type="dxa"/>
            <w:vAlign w:val="center"/>
          </w:tcPr>
          <w:p w:rsidR="005231A3" w:rsidRPr="008A19BD" w:rsidRDefault="005231A3" w:rsidP="00A25229">
            <w:pPr>
              <w:spacing w:before="120" w:after="120"/>
              <w:jc w:val="center"/>
              <w:rPr>
                <w:color w:val="000000"/>
              </w:rPr>
            </w:pPr>
            <w:r w:rsidRPr="008A19BD">
              <w:rPr>
                <w:color w:val="000000"/>
              </w:rPr>
              <w:t>45</w:t>
            </w:r>
          </w:p>
        </w:tc>
        <w:tc>
          <w:tcPr>
            <w:tcW w:w="1355" w:type="dxa"/>
            <w:vMerge/>
            <w:vAlign w:val="center"/>
          </w:tcPr>
          <w:p w:rsidR="005231A3" w:rsidRPr="008A19BD" w:rsidRDefault="005231A3" w:rsidP="00A25229">
            <w:pPr>
              <w:spacing w:before="120" w:after="120"/>
              <w:jc w:val="center"/>
              <w:rPr>
                <w:color w:val="000000"/>
              </w:rPr>
            </w:pPr>
          </w:p>
        </w:tc>
        <w:tc>
          <w:tcPr>
            <w:tcW w:w="1276" w:type="dxa"/>
            <w:vMerge/>
            <w:vAlign w:val="center"/>
          </w:tcPr>
          <w:p w:rsidR="005231A3" w:rsidRPr="008A19BD" w:rsidRDefault="005231A3" w:rsidP="00A25229">
            <w:pPr>
              <w:spacing w:before="120" w:after="120"/>
              <w:jc w:val="center"/>
              <w:rPr>
                <w:color w:val="000000"/>
              </w:rPr>
            </w:pPr>
          </w:p>
        </w:tc>
        <w:tc>
          <w:tcPr>
            <w:tcW w:w="1417" w:type="dxa"/>
            <w:vAlign w:val="center"/>
          </w:tcPr>
          <w:p w:rsidR="005231A3" w:rsidRPr="008A19BD" w:rsidRDefault="005231A3" w:rsidP="00A25229">
            <w:pPr>
              <w:spacing w:before="120" w:after="120"/>
              <w:jc w:val="center"/>
              <w:rPr>
                <w:color w:val="000000"/>
              </w:rPr>
            </w:pPr>
            <w:r w:rsidRPr="008A19BD">
              <w:rPr>
                <w:color w:val="000000"/>
              </w:rPr>
              <w:t>Rp. 362.982,6925</w:t>
            </w:r>
          </w:p>
        </w:tc>
      </w:tr>
    </w:tbl>
    <w:p w:rsidR="005231A3" w:rsidRPr="008A19BD" w:rsidRDefault="005231A3" w:rsidP="00A25229">
      <w:pPr>
        <w:spacing w:after="120"/>
        <w:rPr>
          <w:color w:val="000000"/>
          <w:sz w:val="22"/>
        </w:rPr>
      </w:pPr>
    </w:p>
    <w:p w:rsidR="000A4413" w:rsidRPr="008A19BD" w:rsidRDefault="000A4413" w:rsidP="00D66D2D">
      <w:pPr>
        <w:pStyle w:val="Heading3"/>
        <w:rPr>
          <w:rFonts w:eastAsiaTheme="minorEastAsia"/>
        </w:rPr>
      </w:pPr>
      <w:r w:rsidRPr="008A19BD">
        <w:rPr>
          <w:rFonts w:eastAsiaTheme="minorEastAsia"/>
        </w:rPr>
        <w:t>MENGHITUNG CADANGAN PREMI MODIFIKASI DENGAN METODE NEW JERSEY PADA AKHIR TAHUN ke-t UNTUK PESERTA YANG BERUSIA x TAHUN DENGAN JANGKA WAKTU PERTANGGUNGA SELAMA n TAHUN</w:t>
      </w:r>
    </w:p>
    <w:p w:rsidR="00D6719F" w:rsidRPr="00274D65" w:rsidRDefault="005231A3" w:rsidP="00D16DA8">
      <w:pPr>
        <w:rPr>
          <w:rFonts w:eastAsiaTheme="minorEastAsia"/>
        </w:rPr>
      </w:pPr>
      <w:r w:rsidRPr="008A19BD">
        <w:rPr>
          <w:rFonts w:eastAsiaTheme="minorEastAsia"/>
        </w:rPr>
        <w:t>Sebelum menghitung besarnya cadangan premi, hitunglah</w:t>
      </w:r>
      <w:r w:rsidR="00274D65">
        <w:rPr>
          <w:rFonts w:eastAsiaTheme="minorEastAsia"/>
        </w:rPr>
        <w:t xml:space="preserve"> terlebih dahulu</w:t>
      </w:r>
      <w:r w:rsidRPr="008A19BD">
        <w:rPr>
          <w:rFonts w:eastAsiaTheme="minorEastAsia"/>
        </w:rPr>
        <w:t xml:space="preserve"> besarnya santunan pada usia (</w:t>
      </w:r>
      <w:r w:rsidRPr="008A19BD">
        <w:rPr>
          <w:rFonts w:eastAsiaTheme="minorEastAsia"/>
          <w:i/>
        </w:rPr>
        <w:t xml:space="preserve">x+t) </w:t>
      </w:r>
      <w:r w:rsidRPr="008A19BD">
        <w:rPr>
          <w:rFonts w:eastAsiaTheme="minorEastAsia"/>
        </w:rPr>
        <w:t>tahun</w:t>
      </w:r>
      <w:r w:rsidR="00274D65">
        <w:rPr>
          <w:rFonts w:eastAsiaTheme="minorEastAsia"/>
        </w:rPr>
        <w:t xml:space="preserve"> dan </w:t>
      </w:r>
      <w:r w:rsidRPr="008A19BD">
        <w:rPr>
          <w:rFonts w:eastAsiaTheme="minorEastAsia"/>
        </w:rPr>
        <w:t xml:space="preserve">nilai tunai pada </w:t>
      </w:r>
      <w:r w:rsidRPr="008A19BD">
        <w:rPr>
          <w:rFonts w:eastAsiaTheme="minorEastAsia"/>
          <w:i/>
        </w:rPr>
        <w:t xml:space="preserve">(x+t) </w:t>
      </w:r>
      <w:r w:rsidRPr="008A19BD">
        <w:rPr>
          <w:rFonts w:eastAsiaTheme="minorEastAsia"/>
        </w:rPr>
        <w:t>tahun sisa premi</w:t>
      </w:r>
      <w:r w:rsidR="00274D65">
        <w:rPr>
          <w:rFonts w:eastAsiaTheme="minorEastAsia"/>
        </w:rPr>
        <w:t xml:space="preserve"> mendatang. </w:t>
      </w:r>
      <w:r w:rsidRPr="008A19BD">
        <w:rPr>
          <w:rFonts w:eastAsiaTheme="minorEastAsia"/>
        </w:rPr>
        <w:t xml:space="preserve">Setelah itu, hitunglah besar cadangan premi dengan menggunakan metode </w:t>
      </w:r>
      <w:r w:rsidRPr="008A19BD">
        <w:rPr>
          <w:rFonts w:eastAsiaTheme="minorEastAsia"/>
          <w:i/>
        </w:rPr>
        <w:t>New Jersey</w:t>
      </w:r>
      <w:r w:rsidRPr="008A19BD">
        <w:rPr>
          <w:rFonts w:eastAsiaTheme="minorEastAsia"/>
        </w:rPr>
        <w:t xml:space="preserve"> </w:t>
      </w:r>
      <w:r w:rsidR="00274D65">
        <w:rPr>
          <w:rFonts w:eastAsiaTheme="minorEastAsia"/>
        </w:rPr>
        <w:t xml:space="preserve">yang mengacu pada rumus (2.12) dengan menggunakan data pada Tabel 4.1, Tabel 4.5, dan Tabel 4.6, maka didapat cadangan premi dengan metode </w:t>
      </w:r>
      <w:r w:rsidR="00274D65">
        <w:rPr>
          <w:rFonts w:eastAsiaTheme="minorEastAsia"/>
          <w:i/>
        </w:rPr>
        <w:t xml:space="preserve">New Jersey </w:t>
      </w:r>
      <w:r w:rsidR="00274D65">
        <w:rPr>
          <w:rFonts w:eastAsiaTheme="minorEastAsia"/>
        </w:rPr>
        <w:t xml:space="preserve"> pada akhir tahuk ke-t secara berturut-turut sebagai berikut:</w:t>
      </w:r>
    </w:p>
    <w:p w:rsidR="005231A3" w:rsidRPr="008A19BD" w:rsidRDefault="005231A3" w:rsidP="00A25229">
      <w:pPr>
        <w:spacing w:before="120" w:after="120"/>
        <w:rPr>
          <w:rFonts w:eastAsiaTheme="minorEastAsia"/>
          <w:sz w:val="22"/>
        </w:rPr>
      </w:pPr>
      <w:r w:rsidRPr="008A19BD">
        <w:rPr>
          <w:rFonts w:eastAsiaTheme="minorEastAsia"/>
          <w:sz w:val="22"/>
        </w:rPr>
        <w:t xml:space="preserve">Tabel 4.7 Cadangan Premi dengan Modifikasi </w:t>
      </w:r>
      <w:r w:rsidRPr="008A19BD">
        <w:rPr>
          <w:rFonts w:eastAsiaTheme="minorEastAsia"/>
          <w:i/>
          <w:sz w:val="22"/>
        </w:rPr>
        <w:t>New Jersey</w:t>
      </w:r>
      <w:r w:rsidRPr="008A19BD">
        <w:rPr>
          <w:rFonts w:eastAsiaTheme="minorEastAsia"/>
          <w:sz w:val="22"/>
        </w:rPr>
        <w:t xml:space="preserve"> pada Asuransi Jiwa</w:t>
      </w:r>
    </w:p>
    <w:tbl>
      <w:tblPr>
        <w:tblStyle w:val="TableGrid"/>
        <w:tblW w:w="0" w:type="auto"/>
        <w:tblInd w:w="108" w:type="dxa"/>
        <w:tblLayout w:type="fixed"/>
        <w:tblLook w:val="04A0"/>
      </w:tblPr>
      <w:tblGrid>
        <w:gridCol w:w="567"/>
        <w:gridCol w:w="1276"/>
        <w:gridCol w:w="1347"/>
        <w:gridCol w:w="1596"/>
      </w:tblGrid>
      <w:tr w:rsidR="005231A3" w:rsidRPr="008A19BD" w:rsidTr="00D02B9E">
        <w:trPr>
          <w:trHeight w:val="825"/>
        </w:trPr>
        <w:tc>
          <w:tcPr>
            <w:tcW w:w="567" w:type="dxa"/>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Usia (x)</w:t>
            </w:r>
          </w:p>
        </w:tc>
        <w:tc>
          <w:tcPr>
            <w:tcW w:w="1276" w:type="dxa"/>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Jangka Waktu Pertanggungan (n)</w:t>
            </w:r>
          </w:p>
        </w:tc>
        <w:tc>
          <w:tcPr>
            <w:tcW w:w="1347" w:type="dxa"/>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Besar Santunan</w:t>
            </w:r>
          </w:p>
        </w:tc>
        <w:tc>
          <w:tcPr>
            <w:tcW w:w="1596" w:type="dxa"/>
            <w:vAlign w:val="center"/>
          </w:tcPr>
          <w:p w:rsidR="005231A3" w:rsidRPr="008A19BD" w:rsidRDefault="005231A3" w:rsidP="00A25229">
            <w:pPr>
              <w:pStyle w:val="ListParagraph"/>
              <w:spacing w:after="120"/>
              <w:ind w:left="0"/>
              <w:jc w:val="center"/>
              <w:rPr>
                <w:rFonts w:eastAsiaTheme="minorEastAsia"/>
                <w:i/>
              </w:rPr>
            </w:pPr>
            <w:r w:rsidRPr="008A19BD">
              <w:rPr>
                <w:rFonts w:eastAsiaTheme="minorEastAsia"/>
              </w:rPr>
              <w:t xml:space="preserve">Cadangan Premi modifikasi </w:t>
            </w:r>
            <w:r w:rsidRPr="008A19BD">
              <w:rPr>
                <w:rFonts w:eastAsiaTheme="minorEastAsia"/>
                <w:i/>
              </w:rPr>
              <w:t>New Jersey</w:t>
            </w:r>
          </w:p>
        </w:tc>
      </w:tr>
      <w:tr w:rsidR="005231A3" w:rsidRPr="008A19BD" w:rsidTr="00D02B9E">
        <w:trPr>
          <w:trHeight w:val="285"/>
        </w:trPr>
        <w:tc>
          <w:tcPr>
            <w:tcW w:w="567" w:type="dxa"/>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30</w:t>
            </w:r>
          </w:p>
        </w:tc>
        <w:tc>
          <w:tcPr>
            <w:tcW w:w="1276" w:type="dxa"/>
            <w:vMerge w:val="restart"/>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20</w:t>
            </w:r>
          </w:p>
        </w:tc>
        <w:tc>
          <w:tcPr>
            <w:tcW w:w="1347" w:type="dxa"/>
            <w:vMerge w:val="restart"/>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Rp. 10.000.000</w:t>
            </w:r>
          </w:p>
        </w:tc>
        <w:tc>
          <w:tcPr>
            <w:tcW w:w="1596" w:type="dxa"/>
            <w:vAlign w:val="center"/>
          </w:tcPr>
          <w:p w:rsidR="005231A3" w:rsidRPr="008A19BD" w:rsidRDefault="005231A3" w:rsidP="00A25229">
            <w:pPr>
              <w:spacing w:before="120" w:after="120"/>
              <w:jc w:val="center"/>
              <w:rPr>
                <w:color w:val="000000"/>
              </w:rPr>
            </w:pPr>
            <w:r w:rsidRPr="008A19BD">
              <w:rPr>
                <w:color w:val="000000"/>
              </w:rPr>
              <w:t>Rp5.388.103,39</w:t>
            </w:r>
          </w:p>
        </w:tc>
      </w:tr>
      <w:tr w:rsidR="005231A3" w:rsidRPr="008A19BD" w:rsidTr="00D02B9E">
        <w:trPr>
          <w:trHeight w:val="285"/>
        </w:trPr>
        <w:tc>
          <w:tcPr>
            <w:tcW w:w="567" w:type="dxa"/>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35</w:t>
            </w:r>
          </w:p>
        </w:tc>
        <w:tc>
          <w:tcPr>
            <w:tcW w:w="1276" w:type="dxa"/>
            <w:vMerge/>
            <w:vAlign w:val="center"/>
          </w:tcPr>
          <w:p w:rsidR="005231A3" w:rsidRPr="008A19BD" w:rsidRDefault="005231A3" w:rsidP="00A25229">
            <w:pPr>
              <w:pStyle w:val="ListParagraph"/>
              <w:spacing w:after="120"/>
              <w:ind w:left="0"/>
              <w:jc w:val="center"/>
              <w:rPr>
                <w:rFonts w:eastAsiaTheme="minorEastAsia"/>
              </w:rPr>
            </w:pPr>
          </w:p>
        </w:tc>
        <w:tc>
          <w:tcPr>
            <w:tcW w:w="1347" w:type="dxa"/>
            <w:vMerge/>
            <w:vAlign w:val="center"/>
          </w:tcPr>
          <w:p w:rsidR="005231A3" w:rsidRPr="008A19BD" w:rsidRDefault="005231A3" w:rsidP="00A25229">
            <w:pPr>
              <w:pStyle w:val="ListParagraph"/>
              <w:spacing w:after="120"/>
              <w:ind w:left="0"/>
              <w:jc w:val="center"/>
              <w:rPr>
                <w:rFonts w:eastAsiaTheme="minorEastAsia"/>
              </w:rPr>
            </w:pPr>
          </w:p>
        </w:tc>
        <w:tc>
          <w:tcPr>
            <w:tcW w:w="1596" w:type="dxa"/>
            <w:vAlign w:val="center"/>
          </w:tcPr>
          <w:p w:rsidR="005231A3" w:rsidRPr="008A19BD" w:rsidRDefault="005231A3" w:rsidP="00A25229">
            <w:pPr>
              <w:spacing w:before="120" w:after="120"/>
              <w:jc w:val="center"/>
              <w:rPr>
                <w:color w:val="000000"/>
              </w:rPr>
            </w:pPr>
            <w:r w:rsidRPr="008A19BD">
              <w:rPr>
                <w:color w:val="000000"/>
              </w:rPr>
              <w:t>Rp5.410.332,2</w:t>
            </w:r>
            <w:r w:rsidRPr="008A19BD">
              <w:rPr>
                <w:color w:val="000000"/>
              </w:rPr>
              <w:lastRenderedPageBreak/>
              <w:t>7</w:t>
            </w:r>
          </w:p>
        </w:tc>
      </w:tr>
      <w:tr w:rsidR="005231A3" w:rsidRPr="008A19BD" w:rsidTr="00D02B9E">
        <w:trPr>
          <w:trHeight w:val="285"/>
        </w:trPr>
        <w:tc>
          <w:tcPr>
            <w:tcW w:w="567" w:type="dxa"/>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lastRenderedPageBreak/>
              <w:t>40</w:t>
            </w:r>
          </w:p>
        </w:tc>
        <w:tc>
          <w:tcPr>
            <w:tcW w:w="1276" w:type="dxa"/>
            <w:vMerge/>
            <w:vAlign w:val="center"/>
          </w:tcPr>
          <w:p w:rsidR="005231A3" w:rsidRPr="008A19BD" w:rsidRDefault="005231A3" w:rsidP="00A25229">
            <w:pPr>
              <w:pStyle w:val="ListParagraph"/>
              <w:spacing w:after="120"/>
              <w:ind w:left="0"/>
              <w:jc w:val="center"/>
              <w:rPr>
                <w:rFonts w:eastAsiaTheme="minorEastAsia"/>
              </w:rPr>
            </w:pPr>
          </w:p>
        </w:tc>
        <w:tc>
          <w:tcPr>
            <w:tcW w:w="1347" w:type="dxa"/>
            <w:vMerge/>
            <w:vAlign w:val="center"/>
          </w:tcPr>
          <w:p w:rsidR="005231A3" w:rsidRPr="008A19BD" w:rsidRDefault="005231A3" w:rsidP="00A25229">
            <w:pPr>
              <w:pStyle w:val="ListParagraph"/>
              <w:spacing w:after="120"/>
              <w:ind w:left="0"/>
              <w:jc w:val="center"/>
              <w:rPr>
                <w:rFonts w:eastAsiaTheme="minorEastAsia"/>
              </w:rPr>
            </w:pPr>
          </w:p>
        </w:tc>
        <w:tc>
          <w:tcPr>
            <w:tcW w:w="1596" w:type="dxa"/>
            <w:vAlign w:val="center"/>
          </w:tcPr>
          <w:p w:rsidR="005231A3" w:rsidRPr="008A19BD" w:rsidRDefault="005231A3" w:rsidP="00A25229">
            <w:pPr>
              <w:spacing w:before="120" w:after="120"/>
              <w:jc w:val="center"/>
              <w:rPr>
                <w:color w:val="000000"/>
              </w:rPr>
            </w:pPr>
            <w:r w:rsidRPr="008A19BD">
              <w:rPr>
                <w:color w:val="000000"/>
              </w:rPr>
              <w:t>Rp5.449.476,43</w:t>
            </w:r>
          </w:p>
        </w:tc>
      </w:tr>
      <w:tr w:rsidR="005231A3" w:rsidRPr="008A19BD" w:rsidTr="00D02B9E">
        <w:trPr>
          <w:trHeight w:val="285"/>
        </w:trPr>
        <w:tc>
          <w:tcPr>
            <w:tcW w:w="567" w:type="dxa"/>
            <w:vAlign w:val="center"/>
          </w:tcPr>
          <w:p w:rsidR="005231A3" w:rsidRPr="008A19BD" w:rsidRDefault="005231A3" w:rsidP="00A25229">
            <w:pPr>
              <w:pStyle w:val="ListParagraph"/>
              <w:spacing w:after="120"/>
              <w:ind w:left="0"/>
              <w:jc w:val="center"/>
              <w:rPr>
                <w:rFonts w:eastAsiaTheme="minorEastAsia"/>
              </w:rPr>
            </w:pPr>
            <w:r w:rsidRPr="008A19BD">
              <w:rPr>
                <w:rFonts w:eastAsiaTheme="minorEastAsia"/>
              </w:rPr>
              <w:t>45</w:t>
            </w:r>
          </w:p>
        </w:tc>
        <w:tc>
          <w:tcPr>
            <w:tcW w:w="1276" w:type="dxa"/>
            <w:vMerge/>
            <w:vAlign w:val="center"/>
          </w:tcPr>
          <w:p w:rsidR="005231A3" w:rsidRPr="008A19BD" w:rsidRDefault="005231A3" w:rsidP="00A25229">
            <w:pPr>
              <w:pStyle w:val="ListParagraph"/>
              <w:spacing w:after="120"/>
              <w:ind w:left="0"/>
              <w:jc w:val="center"/>
              <w:rPr>
                <w:rFonts w:eastAsiaTheme="minorEastAsia"/>
              </w:rPr>
            </w:pPr>
          </w:p>
        </w:tc>
        <w:tc>
          <w:tcPr>
            <w:tcW w:w="1347" w:type="dxa"/>
            <w:vMerge/>
            <w:vAlign w:val="center"/>
          </w:tcPr>
          <w:p w:rsidR="005231A3" w:rsidRPr="008A19BD" w:rsidRDefault="005231A3" w:rsidP="00A25229">
            <w:pPr>
              <w:pStyle w:val="ListParagraph"/>
              <w:spacing w:after="120"/>
              <w:ind w:left="0"/>
              <w:jc w:val="center"/>
              <w:rPr>
                <w:rFonts w:eastAsiaTheme="minorEastAsia"/>
              </w:rPr>
            </w:pPr>
          </w:p>
        </w:tc>
        <w:tc>
          <w:tcPr>
            <w:tcW w:w="1596" w:type="dxa"/>
            <w:vAlign w:val="center"/>
          </w:tcPr>
          <w:p w:rsidR="005231A3" w:rsidRPr="008A19BD" w:rsidRDefault="005231A3" w:rsidP="00A25229">
            <w:pPr>
              <w:spacing w:before="120" w:after="120"/>
              <w:jc w:val="center"/>
              <w:rPr>
                <w:color w:val="000000"/>
              </w:rPr>
            </w:pPr>
            <w:r w:rsidRPr="008A19BD">
              <w:rPr>
                <w:color w:val="000000"/>
              </w:rPr>
              <w:t>Rp5.511.600,89</w:t>
            </w:r>
          </w:p>
        </w:tc>
      </w:tr>
    </w:tbl>
    <w:p w:rsidR="000C4709" w:rsidRPr="00D16DA8" w:rsidRDefault="000C4709" w:rsidP="00D16DA8">
      <w:pPr>
        <w:pStyle w:val="NoSpacing"/>
      </w:pPr>
    </w:p>
    <w:p w:rsidR="00CD6743" w:rsidRPr="008A19BD" w:rsidRDefault="00CD6743" w:rsidP="00D66D2D">
      <w:pPr>
        <w:pStyle w:val="Heading1"/>
      </w:pPr>
      <w:r w:rsidRPr="00D66D2D">
        <w:rPr>
          <w:szCs w:val="22"/>
        </w:rPr>
        <w:t>KESIMPULAN</w:t>
      </w:r>
    </w:p>
    <w:p w:rsidR="00216991" w:rsidRPr="001323B6" w:rsidRDefault="00C91A67" w:rsidP="00D16DA8">
      <w:pPr>
        <w:rPr>
          <w:color w:val="000000"/>
        </w:rPr>
      </w:pPr>
      <w:r w:rsidRPr="008A19BD">
        <w:t xml:space="preserve">Cadangan premi pada akhir tahun ke-5 asuransi jiwa dwiguna menggunakan metode </w:t>
      </w:r>
      <w:r w:rsidRPr="008A19BD">
        <w:rPr>
          <w:i/>
        </w:rPr>
        <w:t>New Jersey</w:t>
      </w:r>
      <w:r w:rsidRPr="008A19BD">
        <w:t xml:space="preserve"> dengan usia pemegang polis 25, 30, 35, 40 dan 45 tahun dan mengambil polis selama 20 tahun dengan besar santunan Rp. 10.000.000 </w:t>
      </w:r>
      <w:r w:rsidR="005B7D8D">
        <w:t xml:space="preserve"> secara berturut-turut </w:t>
      </w:r>
      <w:r w:rsidRPr="008A19BD">
        <w:t xml:space="preserve">adalah </w:t>
      </w:r>
      <w:r w:rsidRPr="008A19BD">
        <w:rPr>
          <w:rFonts w:eastAsiaTheme="minorEastAsia"/>
        </w:rPr>
        <w:t xml:space="preserve">Rp. 5.376.856,82, </w:t>
      </w:r>
      <w:r w:rsidRPr="008A19BD">
        <w:rPr>
          <w:color w:val="000000"/>
        </w:rPr>
        <w:t>Rp5.388.103,39, Rp5.410.332,27, Rp5.449.476,43, dan Rp5.511.600,89.</w:t>
      </w:r>
    </w:p>
    <w:p w:rsidR="00CD6743" w:rsidRPr="006A3015" w:rsidRDefault="00CD6743" w:rsidP="00D66D2D">
      <w:pPr>
        <w:pStyle w:val="Heading1"/>
        <w:rPr>
          <w:rFonts w:eastAsiaTheme="minorEastAsia"/>
        </w:rPr>
      </w:pPr>
      <w:r w:rsidRPr="00D66D2D">
        <w:t>DAFTAR</w:t>
      </w:r>
      <w:r w:rsidRPr="006A3015">
        <w:rPr>
          <w:rFonts w:eastAsiaTheme="minorEastAsia"/>
        </w:rPr>
        <w:t xml:space="preserve"> PUSTAKA</w:t>
      </w:r>
    </w:p>
    <w:p w:rsidR="009915EB" w:rsidRPr="006A3015" w:rsidRDefault="00274D65" w:rsidP="00274D65">
      <w:pPr>
        <w:tabs>
          <w:tab w:val="left" w:pos="567"/>
          <w:tab w:val="left" w:pos="709"/>
          <w:tab w:val="left" w:pos="2755"/>
        </w:tabs>
        <w:spacing w:before="120" w:after="120"/>
        <w:ind w:left="567" w:hanging="567"/>
        <w:rPr>
          <w:sz w:val="22"/>
        </w:rPr>
      </w:pPr>
      <w:r>
        <w:rPr>
          <w:sz w:val="22"/>
        </w:rPr>
        <w:t>[1</w:t>
      </w:r>
      <w:r w:rsidR="00CD6743" w:rsidRPr="006A3015">
        <w:rPr>
          <w:sz w:val="22"/>
        </w:rPr>
        <w:t>]</w:t>
      </w:r>
      <w:r w:rsidR="00CD6743" w:rsidRPr="006A3015">
        <w:rPr>
          <w:sz w:val="22"/>
        </w:rPr>
        <w:tab/>
      </w:r>
      <w:r w:rsidR="00317901" w:rsidRPr="006A3015">
        <w:rPr>
          <w:sz w:val="22"/>
        </w:rPr>
        <w:t xml:space="preserve">Gerber, Hans U. 1997. </w:t>
      </w:r>
      <w:r w:rsidR="00317901" w:rsidRPr="006A3015">
        <w:rPr>
          <w:i/>
          <w:sz w:val="22"/>
        </w:rPr>
        <w:t>Life Insurance Mathematics Third Edition.</w:t>
      </w:r>
      <w:r w:rsidR="00317901" w:rsidRPr="006A3015">
        <w:rPr>
          <w:sz w:val="22"/>
        </w:rPr>
        <w:t xml:space="preserve"> New York: Springer-Veerlag.</w:t>
      </w:r>
      <w:r w:rsidR="009915EB" w:rsidRPr="006A3015">
        <w:rPr>
          <w:sz w:val="22"/>
        </w:rPr>
        <w:t xml:space="preserve">  </w:t>
      </w:r>
    </w:p>
    <w:p w:rsidR="00317901" w:rsidRPr="006A3015" w:rsidRDefault="00274D65" w:rsidP="00A25229">
      <w:pPr>
        <w:tabs>
          <w:tab w:val="left" w:pos="567"/>
          <w:tab w:val="left" w:pos="709"/>
          <w:tab w:val="left" w:pos="2755"/>
        </w:tabs>
        <w:spacing w:before="120" w:after="120"/>
        <w:ind w:left="567" w:hanging="540"/>
        <w:rPr>
          <w:i/>
          <w:sz w:val="22"/>
        </w:rPr>
      </w:pPr>
      <w:r>
        <w:rPr>
          <w:sz w:val="22"/>
        </w:rPr>
        <w:t>[2</w:t>
      </w:r>
      <w:r w:rsidR="00CD6743" w:rsidRPr="006A3015">
        <w:rPr>
          <w:sz w:val="22"/>
        </w:rPr>
        <w:t>]</w:t>
      </w:r>
      <w:r w:rsidR="00CD6743" w:rsidRPr="006A3015">
        <w:rPr>
          <w:sz w:val="22"/>
        </w:rPr>
        <w:tab/>
      </w:r>
      <w:r w:rsidR="00317901" w:rsidRPr="006A3015">
        <w:rPr>
          <w:sz w:val="22"/>
        </w:rPr>
        <w:t xml:space="preserve">Annuri, Ramlah, dan Tumpal P. Nababan. 2014. </w:t>
      </w:r>
      <w:r w:rsidR="00317901" w:rsidRPr="006A3015">
        <w:rPr>
          <w:i/>
          <w:sz w:val="22"/>
        </w:rPr>
        <w:t xml:space="preserve">Metode New Jersey untuk Cadangan Asuransi Jiwa Dwiguna dengan Distribusi Gompertz. </w:t>
      </w:r>
      <w:r w:rsidR="00317901" w:rsidRPr="006A3015">
        <w:rPr>
          <w:sz w:val="22"/>
        </w:rPr>
        <w:t>Jurnal Online Mahasiswa (JOM) Bidang Matematika dan Ilmu Pengetahuan Alam, Vol. 1 No. 2, 513-522.</w:t>
      </w:r>
      <w:r w:rsidR="00CD6743" w:rsidRPr="006A3015">
        <w:rPr>
          <w:i/>
          <w:sz w:val="22"/>
        </w:rPr>
        <w:t xml:space="preserve"> </w:t>
      </w:r>
    </w:p>
    <w:p w:rsidR="00CD6743" w:rsidRPr="006A3015" w:rsidRDefault="00274D65" w:rsidP="00A25229">
      <w:pPr>
        <w:tabs>
          <w:tab w:val="left" w:pos="567"/>
          <w:tab w:val="left" w:pos="709"/>
          <w:tab w:val="left" w:pos="2755"/>
        </w:tabs>
        <w:spacing w:before="120" w:after="120"/>
        <w:ind w:left="567" w:hanging="540"/>
        <w:rPr>
          <w:sz w:val="22"/>
        </w:rPr>
      </w:pPr>
      <w:r>
        <w:rPr>
          <w:sz w:val="22"/>
        </w:rPr>
        <w:t>[3</w:t>
      </w:r>
      <w:r w:rsidR="00CD6743" w:rsidRPr="006A3015">
        <w:rPr>
          <w:sz w:val="22"/>
        </w:rPr>
        <w:t>]</w:t>
      </w:r>
      <w:r w:rsidR="00CD6743" w:rsidRPr="006A3015">
        <w:rPr>
          <w:sz w:val="22"/>
        </w:rPr>
        <w:tab/>
      </w:r>
      <w:r w:rsidR="00317901" w:rsidRPr="006A3015">
        <w:rPr>
          <w:sz w:val="22"/>
        </w:rPr>
        <w:t xml:space="preserve">Fajriani, Asri Nurul, Djuwandi dan Yuciana Wilandari. </w:t>
      </w:r>
      <w:r w:rsidR="00317901" w:rsidRPr="006A3015">
        <w:rPr>
          <w:i/>
          <w:sz w:val="22"/>
        </w:rPr>
        <w:t>Perbandingan Nilai Tebus dan Cadangan Premi pada Asuransi Jiwa Kontinu</w:t>
      </w:r>
      <w:r w:rsidR="00317901" w:rsidRPr="006A3015">
        <w:rPr>
          <w:sz w:val="22"/>
        </w:rPr>
        <w:t>. JOM FMIPA, Vol. 2, No. 4.</w:t>
      </w:r>
    </w:p>
    <w:p w:rsidR="00CD6743" w:rsidRPr="00274D65" w:rsidRDefault="00274D65" w:rsidP="00274D65">
      <w:pPr>
        <w:tabs>
          <w:tab w:val="left" w:pos="567"/>
          <w:tab w:val="left" w:pos="709"/>
          <w:tab w:val="left" w:pos="2755"/>
        </w:tabs>
        <w:spacing w:before="120" w:after="120"/>
        <w:ind w:left="567" w:hanging="540"/>
        <w:rPr>
          <w:sz w:val="22"/>
        </w:rPr>
      </w:pPr>
      <w:r>
        <w:rPr>
          <w:sz w:val="22"/>
        </w:rPr>
        <w:t>[4</w:t>
      </w:r>
      <w:r w:rsidR="00414174" w:rsidRPr="006A3015">
        <w:rPr>
          <w:sz w:val="22"/>
        </w:rPr>
        <w:t>]</w:t>
      </w:r>
      <w:r w:rsidR="00414174" w:rsidRPr="006A3015">
        <w:rPr>
          <w:sz w:val="22"/>
        </w:rPr>
        <w:tab/>
        <w:t xml:space="preserve">Iswastika, Rosalita Febriana. 2014. </w:t>
      </w:r>
      <w:r w:rsidR="00414174" w:rsidRPr="006A3015">
        <w:rPr>
          <w:i/>
          <w:sz w:val="22"/>
        </w:rPr>
        <w:t>Penentuan Cadangan Disesuaikan Dengan Metode New Jersey pada Asuransi Jiwa Endowment</w:t>
      </w:r>
      <w:r w:rsidR="00414174" w:rsidRPr="006A3015">
        <w:rPr>
          <w:sz w:val="22"/>
        </w:rPr>
        <w:t>. Jurnal Mahasiswa Matematika, Vol. 2 No. 4, 303-306.</w:t>
      </w:r>
    </w:p>
    <w:sectPr w:rsidR="00CD6743" w:rsidRPr="00274D65"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D87" w:rsidRDefault="00242D87" w:rsidP="00DE5E31">
      <w:r>
        <w:separator/>
      </w:r>
    </w:p>
  </w:endnote>
  <w:endnote w:type="continuationSeparator" w:id="1">
    <w:p w:rsidR="00242D87" w:rsidRDefault="00242D87" w:rsidP="00DE5E31">
      <w:r>
        <w:continuationSeparator/>
      </w:r>
    </w:p>
  </w:endnote>
  <w:endnote w:id="2">
    <w:p w:rsidR="00DA3722" w:rsidRPr="00EC0E42" w:rsidRDefault="00DA3722" w:rsidP="00CD6743">
      <w:pPr>
        <w:pStyle w:val="Email"/>
        <w:rPr>
          <w:lang w:val="id-ID"/>
        </w:rPr>
      </w:pPr>
      <w:r>
        <w:rPr>
          <w:rStyle w:val="EndnoteReference"/>
        </w:rPr>
        <w:endnoteRef/>
      </w:r>
      <w:r>
        <w:t xml:space="preserve"> </w:t>
      </w:r>
      <w:r w:rsidRPr="00EC0E42">
        <w:t>Mahasiswa Program Studi Matematika-FST, UINAM</w:t>
      </w:r>
      <w:r>
        <w:rPr>
          <w:lang w:val="id-ID"/>
        </w:rPr>
        <w:t>,6060011</w:t>
      </w:r>
      <w:r>
        <w:t>2048</w:t>
      </w:r>
      <w:r>
        <w:rPr>
          <w:lang w:val="id-ID"/>
        </w:rPr>
        <w:t>@uin-alauddin.ac.id</w:t>
      </w:r>
      <w:r>
        <w:t xml:space="preserve"> </w:t>
      </w:r>
    </w:p>
  </w:endnote>
  <w:endnote w:id="3">
    <w:p w:rsidR="00DA3722" w:rsidRPr="00C31346" w:rsidRDefault="00DA3722" w:rsidP="00EC0E42">
      <w:pPr>
        <w:pStyle w:val="TentangPenulis"/>
        <w:rPr>
          <w:lang w:val="en-US"/>
        </w:rPr>
      </w:pPr>
      <w:r>
        <w:rPr>
          <w:rStyle w:val="EndnoteReference"/>
        </w:rPr>
        <w:endnoteRef/>
      </w:r>
      <w:r>
        <w:t xml:space="preserve"> Prodi Matematika FST, UINAM,wahidahalwi</w:t>
      </w:r>
      <w:hyperlink r:id="rId1" w:history="1">
        <w:r w:rsidRPr="00CD6743">
          <w:t>@uin-alauddin.ac.id</w:t>
        </w:r>
      </w:hyperlink>
    </w:p>
  </w:endnote>
  <w:endnote w:id="4">
    <w:p w:rsidR="00DA3722" w:rsidRPr="004965F0" w:rsidRDefault="00DA3722" w:rsidP="00D66D2D">
      <w:pPr>
        <w:pStyle w:val="TentangPenulis"/>
      </w:pPr>
      <w:r w:rsidRPr="00EC0E42">
        <w:rPr>
          <w:rStyle w:val="EndnoteReference"/>
        </w:rPr>
        <w:endnoteRef/>
      </w:r>
      <w:r w:rsidRPr="004965F0">
        <w:t>Prodi Matematika FST, UINAM,adnan.sauddin@uin-alauddin.ac.id</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722" w:rsidRDefault="00E01235">
    <w:pPr>
      <w:pStyle w:val="Footer"/>
    </w:pPr>
    <w:fldSimple w:instr="PAGE   \* MERGEFORMAT">
      <w:r w:rsidR="0025462A" w:rsidRPr="0025462A">
        <w:rPr>
          <w:noProof/>
          <w:lang w:val="id-ID"/>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722" w:rsidRPr="006A3015" w:rsidRDefault="00E01235" w:rsidP="00832F74">
    <w:pPr>
      <w:pStyle w:val="Footer"/>
      <w:jc w:val="right"/>
      <w:rPr>
        <w:sz w:val="22"/>
      </w:rPr>
    </w:pPr>
    <w:r w:rsidRPr="006A3015">
      <w:rPr>
        <w:sz w:val="22"/>
      </w:rPr>
      <w:fldChar w:fldCharType="begin"/>
    </w:r>
    <w:r w:rsidR="00DA3722" w:rsidRPr="006A3015">
      <w:rPr>
        <w:sz w:val="22"/>
      </w:rPr>
      <w:instrText>PAGE   \* MERGEFORMAT</w:instrText>
    </w:r>
    <w:r w:rsidRPr="006A3015">
      <w:rPr>
        <w:sz w:val="22"/>
      </w:rPr>
      <w:fldChar w:fldCharType="separate"/>
    </w:r>
    <w:r w:rsidR="0025462A" w:rsidRPr="0025462A">
      <w:rPr>
        <w:noProof/>
        <w:sz w:val="22"/>
        <w:lang w:val="id-ID"/>
      </w:rPr>
      <w:t>17</w:t>
    </w:r>
    <w:r w:rsidRPr="006A3015">
      <w:rP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722" w:rsidRDefault="00E01235">
    <w:pPr>
      <w:pStyle w:val="Footer"/>
    </w:pPr>
    <w:fldSimple w:instr="PAGE   \* MERGEFORMAT">
      <w:r w:rsidR="00C15826" w:rsidRPr="00C15826">
        <w:rPr>
          <w:noProof/>
          <w:lang w:val="id-ID"/>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D87" w:rsidRDefault="00242D87" w:rsidP="00DE5E31">
      <w:r>
        <w:separator/>
      </w:r>
    </w:p>
  </w:footnote>
  <w:footnote w:type="continuationSeparator" w:id="1">
    <w:p w:rsidR="00242D87" w:rsidRDefault="00242D87" w:rsidP="00DE5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722" w:rsidRPr="00832F74" w:rsidRDefault="00E01235" w:rsidP="00832F74">
    <w:pPr>
      <w:pStyle w:val="Header"/>
    </w:pPr>
    <w:fldSimple w:instr=" TITLE  \* Upper  \* MERGEFORMAT ">
      <w:r w:rsidR="00DA3722">
        <w:t>JURNAL MSA VOL. 5 NO. 1 ED. JAN-JUNI 2016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722" w:rsidRDefault="00E01235" w:rsidP="00832F74">
    <w:pPr>
      <w:pStyle w:val="Header"/>
      <w:jc w:val="right"/>
    </w:pPr>
    <w:fldSimple w:instr=" TITLE  \* Upper  \* MERGEFORMAT ">
      <w:r w:rsidR="00DA3722">
        <w:t>JURNAL MSA VOL. 5 NO. 1 ED. JAN-JUNI 2016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279"/>
    <w:multiLevelType w:val="hybridMultilevel"/>
    <w:tmpl w:val="7A9E8D36"/>
    <w:lvl w:ilvl="0" w:tplc="E8D01594">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582FC3"/>
    <w:multiLevelType w:val="hybridMultilevel"/>
    <w:tmpl w:val="F056AA4E"/>
    <w:lvl w:ilvl="0" w:tplc="04B25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B3F3277"/>
    <w:multiLevelType w:val="hybridMultilevel"/>
    <w:tmpl w:val="3FBEC914"/>
    <w:lvl w:ilvl="0" w:tplc="7CB225FA">
      <w:start w:val="1"/>
      <w:numFmt w:val="upp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C2179CA"/>
    <w:multiLevelType w:val="hybridMultilevel"/>
    <w:tmpl w:val="3544DE10"/>
    <w:lvl w:ilvl="0" w:tplc="CA2CA5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18E2E32"/>
    <w:multiLevelType w:val="hybridMultilevel"/>
    <w:tmpl w:val="46186120"/>
    <w:lvl w:ilvl="0" w:tplc="288CD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B51FF9"/>
    <w:multiLevelType w:val="hybridMultilevel"/>
    <w:tmpl w:val="CBE2574A"/>
    <w:lvl w:ilvl="0" w:tplc="40625D0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3E0628"/>
    <w:multiLevelType w:val="hybridMultilevel"/>
    <w:tmpl w:val="2EB8A03A"/>
    <w:lvl w:ilvl="0" w:tplc="72FC94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C7F7A65"/>
    <w:multiLevelType w:val="hybridMultilevel"/>
    <w:tmpl w:val="3ECEDC24"/>
    <w:lvl w:ilvl="0" w:tplc="0688F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30C3A"/>
    <w:multiLevelType w:val="hybridMultilevel"/>
    <w:tmpl w:val="62CCC36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CF1EC8"/>
    <w:multiLevelType w:val="hybridMultilevel"/>
    <w:tmpl w:val="0E0ADE7E"/>
    <w:lvl w:ilvl="0" w:tplc="8F2C240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03572"/>
    <w:multiLevelType w:val="hybridMultilevel"/>
    <w:tmpl w:val="A5E84B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79660C8D"/>
    <w:multiLevelType w:val="hybridMultilevel"/>
    <w:tmpl w:val="1890C4B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8">
    <w:nsid w:val="7B232F07"/>
    <w:multiLevelType w:val="hybridMultilevel"/>
    <w:tmpl w:val="22C41EFA"/>
    <w:lvl w:ilvl="0" w:tplc="C6D2E31C">
      <w:start w:val="2"/>
      <w:numFmt w:val="upperLetter"/>
      <w:lvlText w:val="%1."/>
      <w:lvlJc w:val="left"/>
      <w:pPr>
        <w:ind w:left="1440" w:hanging="360"/>
      </w:pPr>
      <w:rPr>
        <w:rFonts w:hint="default"/>
        <w:b/>
        <w: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7BCC158C"/>
    <w:multiLevelType w:val="hybridMultilevel"/>
    <w:tmpl w:val="C742B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6"/>
  </w:num>
  <w:num w:numId="3">
    <w:abstractNumId w:val="5"/>
  </w:num>
  <w:num w:numId="4">
    <w:abstractNumId w:val="8"/>
  </w:num>
  <w:num w:numId="5">
    <w:abstractNumId w:val="20"/>
  </w:num>
  <w:num w:numId="6">
    <w:abstractNumId w:val="21"/>
  </w:num>
  <w:num w:numId="7">
    <w:abstractNumId w:val="11"/>
  </w:num>
  <w:num w:numId="8">
    <w:abstractNumId w:val="3"/>
  </w:num>
  <w:num w:numId="9">
    <w:abstractNumId w:val="22"/>
  </w:num>
  <w:num w:numId="10">
    <w:abstractNumId w:val="30"/>
  </w:num>
  <w:num w:numId="11">
    <w:abstractNumId w:val="4"/>
  </w:num>
  <w:num w:numId="12">
    <w:abstractNumId w:val="2"/>
  </w:num>
  <w:num w:numId="13">
    <w:abstractNumId w:val="7"/>
  </w:num>
  <w:num w:numId="14">
    <w:abstractNumId w:val="6"/>
  </w:num>
  <w:num w:numId="15">
    <w:abstractNumId w:val="25"/>
  </w:num>
  <w:num w:numId="16">
    <w:abstractNumId w:val="23"/>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8"/>
  </w:num>
  <w:num w:numId="21">
    <w:abstractNumId w:val="14"/>
  </w:num>
  <w:num w:numId="22">
    <w:abstractNumId w:val="1"/>
  </w:num>
  <w:num w:numId="23">
    <w:abstractNumId w:val="12"/>
  </w:num>
  <w:num w:numId="24">
    <w:abstractNumId w:val="26"/>
  </w:num>
  <w:num w:numId="25">
    <w:abstractNumId w:val="19"/>
  </w:num>
  <w:num w:numId="26">
    <w:abstractNumId w:val="10"/>
  </w:num>
  <w:num w:numId="27">
    <w:abstractNumId w:val="24"/>
  </w:num>
  <w:num w:numId="28">
    <w:abstractNumId w:val="0"/>
  </w:num>
  <w:num w:numId="29">
    <w:abstractNumId w:val="17"/>
  </w:num>
  <w:num w:numId="30">
    <w:abstractNumId w:val="27"/>
  </w:num>
  <w:num w:numId="31">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evenAndOddHeaders/>
  <w:characterSpacingControl w:val="doNotCompress"/>
  <w:hdrShapeDefaults>
    <o:shapedefaults v:ext="edit" spidmax="32770"/>
  </w:hdrShapeDefaults>
  <w:footnotePr>
    <w:footnote w:id="0"/>
    <w:footnote w:id="1"/>
  </w:footnotePr>
  <w:endnotePr>
    <w:pos w:val="sectEnd"/>
    <w:endnote w:id="0"/>
    <w:endnote w:id="1"/>
  </w:endnotePr>
  <w:compat/>
  <w:rsids>
    <w:rsidRoot w:val="00EC0E42"/>
    <w:rsid w:val="00003676"/>
    <w:rsid w:val="000368C8"/>
    <w:rsid w:val="00041B32"/>
    <w:rsid w:val="0005278D"/>
    <w:rsid w:val="0007530D"/>
    <w:rsid w:val="000A4413"/>
    <w:rsid w:val="000B3DF1"/>
    <w:rsid w:val="000C39E5"/>
    <w:rsid w:val="000C4709"/>
    <w:rsid w:val="000C6873"/>
    <w:rsid w:val="000C6B42"/>
    <w:rsid w:val="000C70FC"/>
    <w:rsid w:val="000D096B"/>
    <w:rsid w:val="000D7B03"/>
    <w:rsid w:val="000E1D52"/>
    <w:rsid w:val="000F03CB"/>
    <w:rsid w:val="000F1655"/>
    <w:rsid w:val="000F2707"/>
    <w:rsid w:val="000F57A2"/>
    <w:rsid w:val="00100C26"/>
    <w:rsid w:val="001117D1"/>
    <w:rsid w:val="00112E1E"/>
    <w:rsid w:val="00113C41"/>
    <w:rsid w:val="0011408E"/>
    <w:rsid w:val="001323B6"/>
    <w:rsid w:val="00136975"/>
    <w:rsid w:val="001409CA"/>
    <w:rsid w:val="00142C60"/>
    <w:rsid w:val="001434A5"/>
    <w:rsid w:val="00162225"/>
    <w:rsid w:val="001631BE"/>
    <w:rsid w:val="001661CF"/>
    <w:rsid w:val="001822CD"/>
    <w:rsid w:val="00195CD2"/>
    <w:rsid w:val="001B0023"/>
    <w:rsid w:val="001B43BE"/>
    <w:rsid w:val="001B6C36"/>
    <w:rsid w:val="001C3CB4"/>
    <w:rsid w:val="001D256B"/>
    <w:rsid w:val="001F7E88"/>
    <w:rsid w:val="00205390"/>
    <w:rsid w:val="00216991"/>
    <w:rsid w:val="00230BE0"/>
    <w:rsid w:val="002332E1"/>
    <w:rsid w:val="00233AD8"/>
    <w:rsid w:val="00237534"/>
    <w:rsid w:val="00242D87"/>
    <w:rsid w:val="002449DA"/>
    <w:rsid w:val="00252F7C"/>
    <w:rsid w:val="0025462A"/>
    <w:rsid w:val="0025474E"/>
    <w:rsid w:val="002743B1"/>
    <w:rsid w:val="00274D65"/>
    <w:rsid w:val="00287F3E"/>
    <w:rsid w:val="002941F3"/>
    <w:rsid w:val="002946E7"/>
    <w:rsid w:val="002A1DA0"/>
    <w:rsid w:val="002A6C64"/>
    <w:rsid w:val="002B25CD"/>
    <w:rsid w:val="002B448E"/>
    <w:rsid w:val="002C320E"/>
    <w:rsid w:val="002D60FA"/>
    <w:rsid w:val="002E4A9B"/>
    <w:rsid w:val="002E684C"/>
    <w:rsid w:val="002F37B4"/>
    <w:rsid w:val="002F4061"/>
    <w:rsid w:val="002F7BAB"/>
    <w:rsid w:val="003004C5"/>
    <w:rsid w:val="00317726"/>
    <w:rsid w:val="00317901"/>
    <w:rsid w:val="00321555"/>
    <w:rsid w:val="003216F3"/>
    <w:rsid w:val="00336B9F"/>
    <w:rsid w:val="00337176"/>
    <w:rsid w:val="00352985"/>
    <w:rsid w:val="00357298"/>
    <w:rsid w:val="00373E77"/>
    <w:rsid w:val="0039184E"/>
    <w:rsid w:val="003B1FCD"/>
    <w:rsid w:val="003C75D0"/>
    <w:rsid w:val="003D31AA"/>
    <w:rsid w:val="003E3DBF"/>
    <w:rsid w:val="003F0441"/>
    <w:rsid w:val="003F61BE"/>
    <w:rsid w:val="003F7413"/>
    <w:rsid w:val="00406635"/>
    <w:rsid w:val="00412264"/>
    <w:rsid w:val="00412367"/>
    <w:rsid w:val="0041356B"/>
    <w:rsid w:val="00414174"/>
    <w:rsid w:val="00431CD6"/>
    <w:rsid w:val="00433CE8"/>
    <w:rsid w:val="00452164"/>
    <w:rsid w:val="00453542"/>
    <w:rsid w:val="004702F3"/>
    <w:rsid w:val="004712F0"/>
    <w:rsid w:val="0047244B"/>
    <w:rsid w:val="00473518"/>
    <w:rsid w:val="00490E00"/>
    <w:rsid w:val="004954C4"/>
    <w:rsid w:val="004965F0"/>
    <w:rsid w:val="004A17EC"/>
    <w:rsid w:val="004C02F5"/>
    <w:rsid w:val="004C6228"/>
    <w:rsid w:val="004F4A74"/>
    <w:rsid w:val="005008D3"/>
    <w:rsid w:val="00501E27"/>
    <w:rsid w:val="00501E46"/>
    <w:rsid w:val="0051472D"/>
    <w:rsid w:val="005147D3"/>
    <w:rsid w:val="005231A3"/>
    <w:rsid w:val="00524A78"/>
    <w:rsid w:val="00531251"/>
    <w:rsid w:val="00534BE0"/>
    <w:rsid w:val="005521EE"/>
    <w:rsid w:val="005533EE"/>
    <w:rsid w:val="00563ECD"/>
    <w:rsid w:val="005644C5"/>
    <w:rsid w:val="00566A9A"/>
    <w:rsid w:val="005734D9"/>
    <w:rsid w:val="00582B33"/>
    <w:rsid w:val="005969E6"/>
    <w:rsid w:val="00596C68"/>
    <w:rsid w:val="005B7D8D"/>
    <w:rsid w:val="005C3ECA"/>
    <w:rsid w:val="005C498E"/>
    <w:rsid w:val="005D0233"/>
    <w:rsid w:val="006019E0"/>
    <w:rsid w:val="00617CEE"/>
    <w:rsid w:val="00627C22"/>
    <w:rsid w:val="00633A00"/>
    <w:rsid w:val="006407CC"/>
    <w:rsid w:val="00646776"/>
    <w:rsid w:val="00650652"/>
    <w:rsid w:val="00650A2E"/>
    <w:rsid w:val="006600DA"/>
    <w:rsid w:val="006613E9"/>
    <w:rsid w:val="006758B9"/>
    <w:rsid w:val="0068652F"/>
    <w:rsid w:val="006A0AA6"/>
    <w:rsid w:val="006A1D56"/>
    <w:rsid w:val="006A1D78"/>
    <w:rsid w:val="006A3015"/>
    <w:rsid w:val="006B2C8D"/>
    <w:rsid w:val="006C569E"/>
    <w:rsid w:val="006D0992"/>
    <w:rsid w:val="006D4A99"/>
    <w:rsid w:val="006E2AB1"/>
    <w:rsid w:val="006F0F2A"/>
    <w:rsid w:val="007119CC"/>
    <w:rsid w:val="0072039B"/>
    <w:rsid w:val="0072281D"/>
    <w:rsid w:val="007268D4"/>
    <w:rsid w:val="00744470"/>
    <w:rsid w:val="007453CB"/>
    <w:rsid w:val="00747888"/>
    <w:rsid w:val="00763A33"/>
    <w:rsid w:val="007666F0"/>
    <w:rsid w:val="00770B52"/>
    <w:rsid w:val="00785298"/>
    <w:rsid w:val="00793025"/>
    <w:rsid w:val="007C41F5"/>
    <w:rsid w:val="007D4951"/>
    <w:rsid w:val="007E36C2"/>
    <w:rsid w:val="00812412"/>
    <w:rsid w:val="008139FF"/>
    <w:rsid w:val="00823005"/>
    <w:rsid w:val="00831344"/>
    <w:rsid w:val="00832F74"/>
    <w:rsid w:val="00870C1D"/>
    <w:rsid w:val="00871263"/>
    <w:rsid w:val="00872AC5"/>
    <w:rsid w:val="008768CB"/>
    <w:rsid w:val="00887AA5"/>
    <w:rsid w:val="00887B63"/>
    <w:rsid w:val="00894DBB"/>
    <w:rsid w:val="0089626E"/>
    <w:rsid w:val="008A19BD"/>
    <w:rsid w:val="008A5E28"/>
    <w:rsid w:val="008C145D"/>
    <w:rsid w:val="008C2EFC"/>
    <w:rsid w:val="008E3D17"/>
    <w:rsid w:val="008E3D42"/>
    <w:rsid w:val="008E5C95"/>
    <w:rsid w:val="008E63C7"/>
    <w:rsid w:val="008F6F64"/>
    <w:rsid w:val="00900E10"/>
    <w:rsid w:val="00901DE4"/>
    <w:rsid w:val="009022D8"/>
    <w:rsid w:val="009152AC"/>
    <w:rsid w:val="00915E5B"/>
    <w:rsid w:val="00920FDB"/>
    <w:rsid w:val="00922DD6"/>
    <w:rsid w:val="00942C09"/>
    <w:rsid w:val="009435EF"/>
    <w:rsid w:val="009554CB"/>
    <w:rsid w:val="0097672F"/>
    <w:rsid w:val="009778EC"/>
    <w:rsid w:val="0098387F"/>
    <w:rsid w:val="009915EB"/>
    <w:rsid w:val="00993444"/>
    <w:rsid w:val="009B014A"/>
    <w:rsid w:val="009D6170"/>
    <w:rsid w:val="009D76DA"/>
    <w:rsid w:val="009F2E42"/>
    <w:rsid w:val="00A054EC"/>
    <w:rsid w:val="00A12F03"/>
    <w:rsid w:val="00A1392E"/>
    <w:rsid w:val="00A16CC4"/>
    <w:rsid w:val="00A25229"/>
    <w:rsid w:val="00A253BE"/>
    <w:rsid w:val="00A326F1"/>
    <w:rsid w:val="00A430B6"/>
    <w:rsid w:val="00A47E83"/>
    <w:rsid w:val="00A54A6C"/>
    <w:rsid w:val="00A80F22"/>
    <w:rsid w:val="00A900A2"/>
    <w:rsid w:val="00A92C43"/>
    <w:rsid w:val="00A96B2B"/>
    <w:rsid w:val="00AA279D"/>
    <w:rsid w:val="00AB1251"/>
    <w:rsid w:val="00AC4F11"/>
    <w:rsid w:val="00AC6D5C"/>
    <w:rsid w:val="00AD2E57"/>
    <w:rsid w:val="00AD51E4"/>
    <w:rsid w:val="00B03506"/>
    <w:rsid w:val="00B11230"/>
    <w:rsid w:val="00B149A9"/>
    <w:rsid w:val="00B21034"/>
    <w:rsid w:val="00B23589"/>
    <w:rsid w:val="00B23F27"/>
    <w:rsid w:val="00B534DC"/>
    <w:rsid w:val="00B70A52"/>
    <w:rsid w:val="00B73A5C"/>
    <w:rsid w:val="00B87146"/>
    <w:rsid w:val="00B922DE"/>
    <w:rsid w:val="00B96F95"/>
    <w:rsid w:val="00BA4390"/>
    <w:rsid w:val="00BB2A38"/>
    <w:rsid w:val="00BB62F2"/>
    <w:rsid w:val="00BC6F21"/>
    <w:rsid w:val="00BD549F"/>
    <w:rsid w:val="00BE1489"/>
    <w:rsid w:val="00C063F1"/>
    <w:rsid w:val="00C07453"/>
    <w:rsid w:val="00C077B4"/>
    <w:rsid w:val="00C15826"/>
    <w:rsid w:val="00C31346"/>
    <w:rsid w:val="00C50118"/>
    <w:rsid w:val="00C708B3"/>
    <w:rsid w:val="00C71107"/>
    <w:rsid w:val="00C763F1"/>
    <w:rsid w:val="00C91A67"/>
    <w:rsid w:val="00C93CBC"/>
    <w:rsid w:val="00CA249E"/>
    <w:rsid w:val="00CA667F"/>
    <w:rsid w:val="00CB1489"/>
    <w:rsid w:val="00CD4FF2"/>
    <w:rsid w:val="00CD6743"/>
    <w:rsid w:val="00CD7339"/>
    <w:rsid w:val="00CE4B44"/>
    <w:rsid w:val="00CF01DE"/>
    <w:rsid w:val="00D02B9E"/>
    <w:rsid w:val="00D04714"/>
    <w:rsid w:val="00D16DA8"/>
    <w:rsid w:val="00D2177D"/>
    <w:rsid w:val="00D22B68"/>
    <w:rsid w:val="00D22C08"/>
    <w:rsid w:val="00D66D2D"/>
    <w:rsid w:val="00D6719F"/>
    <w:rsid w:val="00D74060"/>
    <w:rsid w:val="00D8299A"/>
    <w:rsid w:val="00D8461C"/>
    <w:rsid w:val="00D84926"/>
    <w:rsid w:val="00DA3722"/>
    <w:rsid w:val="00DC0702"/>
    <w:rsid w:val="00DC2528"/>
    <w:rsid w:val="00DC54C1"/>
    <w:rsid w:val="00DD273A"/>
    <w:rsid w:val="00DD6BA4"/>
    <w:rsid w:val="00DE5C82"/>
    <w:rsid w:val="00DE5E31"/>
    <w:rsid w:val="00DF2AA6"/>
    <w:rsid w:val="00DF33DC"/>
    <w:rsid w:val="00E011B8"/>
    <w:rsid w:val="00E01235"/>
    <w:rsid w:val="00E028C7"/>
    <w:rsid w:val="00E02E82"/>
    <w:rsid w:val="00E10140"/>
    <w:rsid w:val="00E150F5"/>
    <w:rsid w:val="00E220A8"/>
    <w:rsid w:val="00E23B55"/>
    <w:rsid w:val="00E300E4"/>
    <w:rsid w:val="00E3798C"/>
    <w:rsid w:val="00E47585"/>
    <w:rsid w:val="00E533D1"/>
    <w:rsid w:val="00E6523F"/>
    <w:rsid w:val="00E86E10"/>
    <w:rsid w:val="00E91381"/>
    <w:rsid w:val="00E96D97"/>
    <w:rsid w:val="00EA71BD"/>
    <w:rsid w:val="00EC0E42"/>
    <w:rsid w:val="00EE6AE5"/>
    <w:rsid w:val="00F14DCA"/>
    <w:rsid w:val="00F4267D"/>
    <w:rsid w:val="00F5621B"/>
    <w:rsid w:val="00F61588"/>
    <w:rsid w:val="00F64092"/>
    <w:rsid w:val="00F6507C"/>
    <w:rsid w:val="00F66EC3"/>
    <w:rsid w:val="00F760F6"/>
    <w:rsid w:val="00F80159"/>
    <w:rsid w:val="00FB04B5"/>
    <w:rsid w:val="00FE154E"/>
    <w:rsid w:val="00FE6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D66D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paragraph" w:styleId="HTMLPreformatted">
    <w:name w:val="HTML Preformatted"/>
    <w:basedOn w:val="Normal"/>
    <w:link w:val="HTMLPreformattedChar"/>
    <w:uiPriority w:val="99"/>
    <w:unhideWhenUsed/>
    <w:rsid w:val="004C6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C6228"/>
    <w:rPr>
      <w:rFonts w:ascii="Courier New" w:eastAsia="Times New Roman" w:hAnsi="Courier New" w:cs="Courier New"/>
      <w:sz w:val="20"/>
      <w:szCs w:val="20"/>
      <w:lang w:val="en-US"/>
    </w:rPr>
  </w:style>
  <w:style w:type="character" w:customStyle="1" w:styleId="gnkrckgcgsb">
    <w:name w:val="gnkrckgcgsb"/>
    <w:basedOn w:val="DefaultParagraphFont"/>
    <w:rsid w:val="004C6228"/>
  </w:style>
  <w:style w:type="character" w:customStyle="1" w:styleId="Heading4Char">
    <w:name w:val="Heading 4 Char"/>
    <w:basedOn w:val="DefaultParagraphFont"/>
    <w:link w:val="Heading4"/>
    <w:uiPriority w:val="9"/>
    <w:rsid w:val="00D66D2D"/>
    <w:rPr>
      <w:rFonts w:asciiTheme="majorHAnsi" w:eastAsiaTheme="majorEastAsia" w:hAnsiTheme="majorHAnsi" w:cstheme="majorBidi"/>
      <w:b/>
      <w:bCs/>
      <w:i/>
      <w:iCs/>
      <w:color w:val="4F81BD" w:themeColor="accent1"/>
      <w:sz w:val="24"/>
      <w:lang w:val="en-US"/>
    </w:rPr>
  </w:style>
  <w:style w:type="paragraph" w:styleId="NoSpacing">
    <w:name w:val="No Spacing"/>
    <w:uiPriority w:val="1"/>
    <w:qFormat/>
    <w:rsid w:val="00D16DA8"/>
    <w:pPr>
      <w:spacing w:after="0" w:line="240" w:lineRule="auto"/>
      <w:jc w:val="both"/>
    </w:pPr>
    <w:rPr>
      <w:rFonts w:ascii="Times New Roman" w:eastAsia="Times New Roman" w:hAnsi="Times New Roman" w:cs="Times New Roman"/>
      <w:sz w:val="24"/>
      <w:lang w:val="en-US"/>
    </w:rPr>
  </w:style>
</w:styles>
</file>

<file path=word/webSettings.xml><?xml version="1.0" encoding="utf-8"?>
<w:webSettings xmlns:r="http://schemas.openxmlformats.org/officeDocument/2006/relationships" xmlns:w="http://schemas.openxmlformats.org/wordprocessingml/2006/main">
  <w:divs>
    <w:div w:id="382095695">
      <w:bodyDiv w:val="1"/>
      <w:marLeft w:val="0"/>
      <w:marRight w:val="0"/>
      <w:marTop w:val="0"/>
      <w:marBottom w:val="0"/>
      <w:divBdr>
        <w:top w:val="none" w:sz="0" w:space="0" w:color="auto"/>
        <w:left w:val="none" w:sz="0" w:space="0" w:color="auto"/>
        <w:bottom w:val="none" w:sz="0" w:space="0" w:color="auto"/>
        <w:right w:val="none" w:sz="0" w:space="0" w:color="auto"/>
      </w:divBdr>
    </w:div>
    <w:div w:id="919099819">
      <w:bodyDiv w:val="1"/>
      <w:marLeft w:val="0"/>
      <w:marRight w:val="0"/>
      <w:marTop w:val="0"/>
      <w:marBottom w:val="0"/>
      <w:divBdr>
        <w:top w:val="none" w:sz="0" w:space="0" w:color="auto"/>
        <w:left w:val="none" w:sz="0" w:space="0" w:color="auto"/>
        <w:bottom w:val="none" w:sz="0" w:space="0" w:color="auto"/>
        <w:right w:val="none" w:sz="0" w:space="0" w:color="auto"/>
      </w:divBdr>
    </w:div>
    <w:div w:id="1396513488">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
    <w:div w:id="1697653955">
      <w:bodyDiv w:val="1"/>
      <w:marLeft w:val="0"/>
      <w:marRight w:val="0"/>
      <w:marTop w:val="0"/>
      <w:marBottom w:val="0"/>
      <w:divBdr>
        <w:top w:val="none" w:sz="0" w:space="0" w:color="auto"/>
        <w:left w:val="none" w:sz="0" w:space="0" w:color="auto"/>
        <w:bottom w:val="none" w:sz="0" w:space="0" w:color="auto"/>
        <w:right w:val="none" w:sz="0" w:space="0" w:color="auto"/>
      </w:divBdr>
    </w:div>
    <w:div w:id="189091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Adnan.sauddin@uin-alauddin.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YAH-PC\Downloads\DOC-20181208-WA0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98AE856C-E875-4E29-935B-7E2FF766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DOC-20181208-WA0007.dotx</Template>
  <TotalTime>538</TotalTime>
  <Pages>6</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16102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HILYAH-PC</dc:creator>
  <cp:lastModifiedBy>asus</cp:lastModifiedBy>
  <cp:revision>86</cp:revision>
  <cp:lastPrinted>2018-12-16T06:23:00Z</cp:lastPrinted>
  <dcterms:created xsi:type="dcterms:W3CDTF">2018-12-08T02:56:00Z</dcterms:created>
  <dcterms:modified xsi:type="dcterms:W3CDTF">2018-12-20T05:35:00Z</dcterms:modified>
</cp:coreProperties>
</file>