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172AE" w:rsidRPr="00CD47A2" w:rsidRDefault="00583925">
      <w:pPr>
        <w:spacing w:line="240" w:lineRule="auto"/>
        <w:jc w:val="center"/>
        <w:rPr>
          <w:rFonts w:ascii="Goudy Old Style" w:hAnsi="Goudy Old Style"/>
          <w:b/>
          <w:bCs/>
          <w:sz w:val="32"/>
          <w:szCs w:val="32"/>
        </w:rPr>
      </w:pPr>
      <w:bookmarkStart w:id="0" w:name="_heading=h.y4r83w1skisb" w:colFirst="0" w:colLast="0"/>
      <w:bookmarkEnd w:id="0"/>
      <w:r w:rsidRPr="00CD47A2">
        <w:rPr>
          <w:rFonts w:ascii="Goudy Old Style" w:hAnsi="Goudy Old Style"/>
          <w:b/>
          <w:bCs/>
          <w:sz w:val="32"/>
          <w:szCs w:val="32"/>
        </w:rPr>
        <w:t xml:space="preserve">HISTORIOGRAFI KRITIS IBN KHALDUN </w:t>
      </w:r>
      <w:r w:rsidRPr="00CD47A2">
        <w:rPr>
          <w:rFonts w:ascii="Goudy Old Style" w:hAnsi="Goudy Old Style"/>
          <w:b/>
          <w:bCs/>
          <w:sz w:val="32"/>
          <w:szCs w:val="32"/>
        </w:rPr>
        <w:br/>
        <w:t>(JEMBATAN INTELEKTUAL ANTARA TRADISI ISLAM DAN SEJARAH MODERN)</w:t>
      </w:r>
    </w:p>
    <w:p w14:paraId="00000002" w14:textId="77777777" w:rsidR="000172AE" w:rsidRPr="00CD47A2" w:rsidRDefault="000172AE">
      <w:pPr>
        <w:spacing w:line="240" w:lineRule="auto"/>
        <w:jc w:val="center"/>
        <w:rPr>
          <w:rFonts w:ascii="Goudy Old Style" w:hAnsi="Goudy Old Style"/>
          <w:b/>
          <w:bCs/>
          <w:sz w:val="32"/>
          <w:szCs w:val="32"/>
        </w:rPr>
      </w:pPr>
    </w:p>
    <w:p w14:paraId="00000003" w14:textId="278A77D9" w:rsidR="000172AE" w:rsidRPr="00EA3694" w:rsidRDefault="00583925">
      <w:pPr>
        <w:pBdr>
          <w:top w:val="nil"/>
          <w:left w:val="nil"/>
          <w:bottom w:val="nil"/>
          <w:right w:val="nil"/>
          <w:between w:val="nil"/>
        </w:pBdr>
        <w:spacing w:line="240" w:lineRule="auto"/>
        <w:jc w:val="center"/>
        <w:rPr>
          <w:rFonts w:ascii="Goudy Old Style" w:hAnsi="Goudy Old Style"/>
          <w:color w:val="000000"/>
          <w:sz w:val="26"/>
          <w:szCs w:val="26"/>
          <w:vertAlign w:val="superscript"/>
          <w:lang w:val="en-US"/>
        </w:rPr>
      </w:pPr>
      <w:r w:rsidRPr="00CD47A2">
        <w:rPr>
          <w:rFonts w:ascii="Goudy Old Style" w:hAnsi="Goudy Old Style"/>
          <w:color w:val="000000"/>
          <w:sz w:val="26"/>
          <w:szCs w:val="26"/>
        </w:rPr>
        <w:t>Muh. Ilham Majid Dohe</w:t>
      </w:r>
      <w:r w:rsidRPr="00CD47A2">
        <w:rPr>
          <w:rFonts w:ascii="Goudy Old Style" w:hAnsi="Goudy Old Style"/>
          <w:color w:val="000000"/>
          <w:sz w:val="26"/>
          <w:szCs w:val="26"/>
          <w:vertAlign w:val="superscript"/>
        </w:rPr>
        <w:t>1</w:t>
      </w:r>
      <w:r w:rsidRPr="00CD47A2">
        <w:rPr>
          <w:rFonts w:ascii="Goudy Old Style" w:hAnsi="Goudy Old Style"/>
          <w:color w:val="000000"/>
          <w:sz w:val="26"/>
          <w:szCs w:val="26"/>
        </w:rPr>
        <w:t>, Musafir Pababbari</w:t>
      </w:r>
      <w:r w:rsidRPr="00CD47A2">
        <w:rPr>
          <w:rFonts w:ascii="Goudy Old Style" w:hAnsi="Goudy Old Style"/>
          <w:color w:val="000000"/>
          <w:sz w:val="26"/>
          <w:szCs w:val="26"/>
          <w:vertAlign w:val="superscript"/>
        </w:rPr>
        <w:t>2</w:t>
      </w:r>
      <w:r w:rsidR="00EA3694">
        <w:rPr>
          <w:rFonts w:ascii="Goudy Old Style" w:hAnsi="Goudy Old Style"/>
          <w:color w:val="000000"/>
          <w:sz w:val="26"/>
          <w:szCs w:val="26"/>
          <w:lang w:val="en-US"/>
        </w:rPr>
        <w:t>, Ahmad Yani</w:t>
      </w:r>
      <w:r w:rsidR="00EA3694">
        <w:rPr>
          <w:rFonts w:ascii="Goudy Old Style" w:hAnsi="Goudy Old Style"/>
          <w:color w:val="000000"/>
          <w:sz w:val="26"/>
          <w:szCs w:val="26"/>
          <w:vertAlign w:val="superscript"/>
          <w:lang w:val="en-US"/>
        </w:rPr>
        <w:t>3</w:t>
      </w:r>
      <w:r w:rsidR="00EA3694">
        <w:rPr>
          <w:rFonts w:ascii="Goudy Old Style" w:hAnsi="Goudy Old Style"/>
          <w:color w:val="000000"/>
          <w:sz w:val="26"/>
          <w:szCs w:val="26"/>
          <w:lang w:val="en-US"/>
        </w:rPr>
        <w:t>, Umar</w:t>
      </w:r>
      <w:r w:rsidR="00EA3694">
        <w:rPr>
          <w:rFonts w:ascii="Goudy Old Style" w:hAnsi="Goudy Old Style"/>
          <w:color w:val="000000"/>
          <w:sz w:val="26"/>
          <w:szCs w:val="26"/>
          <w:vertAlign w:val="superscript"/>
          <w:lang w:val="en-US"/>
        </w:rPr>
        <w:t>4</w:t>
      </w:r>
    </w:p>
    <w:p w14:paraId="00000004" w14:textId="77777777" w:rsidR="000172AE" w:rsidRPr="00CD47A2" w:rsidRDefault="000172AE">
      <w:pPr>
        <w:pBdr>
          <w:top w:val="nil"/>
          <w:left w:val="nil"/>
          <w:bottom w:val="nil"/>
          <w:right w:val="nil"/>
          <w:between w:val="nil"/>
        </w:pBdr>
        <w:spacing w:line="240" w:lineRule="auto"/>
        <w:jc w:val="center"/>
        <w:rPr>
          <w:rFonts w:ascii="Goudy Old Style" w:hAnsi="Goudy Old Style"/>
          <w:color w:val="000000"/>
          <w:sz w:val="26"/>
          <w:szCs w:val="26"/>
        </w:rPr>
      </w:pPr>
    </w:p>
    <w:p w14:paraId="7133780C" w14:textId="77777777" w:rsidR="00EA3694" w:rsidRDefault="00583925">
      <w:pPr>
        <w:pBdr>
          <w:top w:val="nil"/>
          <w:left w:val="nil"/>
          <w:bottom w:val="nil"/>
          <w:right w:val="nil"/>
          <w:between w:val="nil"/>
        </w:pBdr>
        <w:spacing w:line="240" w:lineRule="auto"/>
        <w:jc w:val="center"/>
        <w:rPr>
          <w:rFonts w:ascii="Goudy Old Style" w:hAnsi="Goudy Old Style"/>
          <w:color w:val="000000"/>
          <w:lang w:val="en-US"/>
        </w:rPr>
      </w:pPr>
      <w:r w:rsidRPr="00CD47A2">
        <w:rPr>
          <w:rFonts w:ascii="Goudy Old Style" w:hAnsi="Goudy Old Style"/>
          <w:color w:val="000000"/>
        </w:rPr>
        <w:t>Universitas Wira Bhakti</w:t>
      </w:r>
      <w:r w:rsidRPr="00CD47A2">
        <w:rPr>
          <w:rFonts w:ascii="Goudy Old Style" w:hAnsi="Goudy Old Style"/>
          <w:color w:val="000000"/>
          <w:vertAlign w:val="superscript"/>
        </w:rPr>
        <w:t>1</w:t>
      </w:r>
      <w:r w:rsidRPr="00CD47A2">
        <w:rPr>
          <w:rFonts w:ascii="Goudy Old Style" w:hAnsi="Goudy Old Style"/>
          <w:color w:val="000000"/>
        </w:rPr>
        <w:t>, Universitas Islam Negeri Alauddin Makassar</w:t>
      </w:r>
      <w:r w:rsidRPr="00CD47A2">
        <w:rPr>
          <w:rFonts w:ascii="Goudy Old Style" w:hAnsi="Goudy Old Style"/>
          <w:color w:val="000000"/>
          <w:vertAlign w:val="superscript"/>
        </w:rPr>
        <w:t>2</w:t>
      </w:r>
      <w:r w:rsidR="00EA3694">
        <w:rPr>
          <w:rFonts w:ascii="Goudy Old Style" w:hAnsi="Goudy Old Style"/>
          <w:color w:val="000000"/>
          <w:lang w:val="en-US"/>
        </w:rPr>
        <w:t xml:space="preserve">, </w:t>
      </w:r>
    </w:p>
    <w:p w14:paraId="00000005" w14:textId="5A5B074A" w:rsidR="000172AE" w:rsidRPr="00EA3694" w:rsidRDefault="00EA3694">
      <w:pPr>
        <w:pBdr>
          <w:top w:val="nil"/>
          <w:left w:val="nil"/>
          <w:bottom w:val="nil"/>
          <w:right w:val="nil"/>
          <w:between w:val="nil"/>
        </w:pBdr>
        <w:spacing w:line="240" w:lineRule="auto"/>
        <w:jc w:val="center"/>
        <w:rPr>
          <w:rFonts w:ascii="Goudy Old Style" w:hAnsi="Goudy Old Style"/>
          <w:color w:val="000000"/>
          <w:vertAlign w:val="superscript"/>
          <w:lang w:val="en-US"/>
        </w:rPr>
      </w:pPr>
      <w:proofErr w:type="spellStart"/>
      <w:r w:rsidRPr="00EA3694">
        <w:rPr>
          <w:rFonts w:ascii="Goudy Old Style" w:hAnsi="Goudy Old Style"/>
          <w:color w:val="000000"/>
          <w:lang w:val="en-US"/>
        </w:rPr>
        <w:t>Institut</w:t>
      </w:r>
      <w:proofErr w:type="spellEnd"/>
      <w:r w:rsidRPr="00EA3694">
        <w:rPr>
          <w:rFonts w:ascii="Goudy Old Style" w:hAnsi="Goudy Old Style"/>
          <w:color w:val="000000"/>
          <w:lang w:val="en-US"/>
        </w:rPr>
        <w:t xml:space="preserve"> Agama Islam Negeri Parepare</w:t>
      </w:r>
      <w:r>
        <w:rPr>
          <w:rFonts w:ascii="Goudy Old Style" w:hAnsi="Goudy Old Style"/>
          <w:color w:val="000000"/>
          <w:vertAlign w:val="superscript"/>
          <w:lang w:val="en-US"/>
        </w:rPr>
        <w:t>3</w:t>
      </w:r>
      <w:r>
        <w:rPr>
          <w:rFonts w:ascii="Goudy Old Style" w:hAnsi="Goudy Old Style"/>
          <w:color w:val="000000"/>
          <w:lang w:val="en-US"/>
        </w:rPr>
        <w:t xml:space="preserve">, </w:t>
      </w:r>
      <w:proofErr w:type="spellStart"/>
      <w:r w:rsidRPr="00EA3694">
        <w:rPr>
          <w:rFonts w:ascii="Goudy Old Style" w:hAnsi="Goudy Old Style"/>
          <w:color w:val="000000"/>
          <w:lang w:val="en-US"/>
        </w:rPr>
        <w:t>Institut</w:t>
      </w:r>
      <w:proofErr w:type="spellEnd"/>
      <w:r w:rsidRPr="00EA3694">
        <w:rPr>
          <w:rFonts w:ascii="Goudy Old Style" w:hAnsi="Goudy Old Style"/>
          <w:color w:val="000000"/>
          <w:lang w:val="en-US"/>
        </w:rPr>
        <w:t xml:space="preserve"> Agama Islam DDI </w:t>
      </w:r>
      <w:proofErr w:type="spellStart"/>
      <w:r w:rsidRPr="00EA3694">
        <w:rPr>
          <w:rFonts w:ascii="Goudy Old Style" w:hAnsi="Goudy Old Style"/>
          <w:color w:val="000000"/>
          <w:lang w:val="en-US"/>
        </w:rPr>
        <w:t>Sidenreng</w:t>
      </w:r>
      <w:proofErr w:type="spellEnd"/>
      <w:r w:rsidRPr="00EA3694">
        <w:rPr>
          <w:rFonts w:ascii="Goudy Old Style" w:hAnsi="Goudy Old Style"/>
          <w:color w:val="000000"/>
          <w:lang w:val="en-US"/>
        </w:rPr>
        <w:t xml:space="preserve"> Rappang</w:t>
      </w:r>
      <w:r>
        <w:rPr>
          <w:rFonts w:ascii="Goudy Old Style" w:hAnsi="Goudy Old Style"/>
          <w:color w:val="000000"/>
          <w:vertAlign w:val="superscript"/>
          <w:lang w:val="en-US"/>
        </w:rPr>
        <w:t>4</w:t>
      </w:r>
    </w:p>
    <w:p w14:paraId="00000006" w14:textId="15390DE7" w:rsidR="000172AE" w:rsidRPr="00EA3694" w:rsidRDefault="00583925">
      <w:pPr>
        <w:pBdr>
          <w:top w:val="nil"/>
          <w:left w:val="nil"/>
          <w:bottom w:val="nil"/>
          <w:right w:val="nil"/>
          <w:between w:val="nil"/>
        </w:pBdr>
        <w:spacing w:line="240" w:lineRule="auto"/>
        <w:jc w:val="center"/>
        <w:rPr>
          <w:rFonts w:ascii="Goudy Old Style" w:hAnsi="Goudy Old Style"/>
          <w:color w:val="000000"/>
          <w:vertAlign w:val="superscript"/>
          <w:lang w:val="en-US"/>
        </w:rPr>
      </w:pPr>
      <w:r w:rsidRPr="00CD47A2">
        <w:rPr>
          <w:rFonts w:ascii="Goudy Old Style" w:hAnsi="Goudy Old Style"/>
        </w:rPr>
        <w:t xml:space="preserve">Email: </w:t>
      </w:r>
      <w:hyperlink r:id="rId7">
        <w:r w:rsidR="000172AE" w:rsidRPr="00CD47A2">
          <w:rPr>
            <w:rFonts w:ascii="Goudy Old Style" w:hAnsi="Goudy Old Style"/>
            <w:color w:val="0000FF"/>
            <w:u w:val="single"/>
          </w:rPr>
          <w:t>muhilham@wirabhaktimakassar.ac.id</w:t>
        </w:r>
      </w:hyperlink>
      <w:r w:rsidRPr="00CD47A2">
        <w:rPr>
          <w:rFonts w:ascii="Goudy Old Style" w:hAnsi="Goudy Old Style"/>
          <w:vertAlign w:val="superscript"/>
        </w:rPr>
        <w:t>1</w:t>
      </w:r>
      <w:r w:rsidRPr="00CD47A2">
        <w:rPr>
          <w:rFonts w:ascii="Goudy Old Style" w:hAnsi="Goudy Old Style"/>
        </w:rPr>
        <w:t>,</w:t>
      </w:r>
      <w:r w:rsidRPr="00CD47A2">
        <w:rPr>
          <w:rFonts w:ascii="Goudy Old Style" w:hAnsi="Goudy Old Style"/>
          <w:vertAlign w:val="superscript"/>
        </w:rPr>
        <w:t xml:space="preserve"> </w:t>
      </w:r>
      <w:hyperlink r:id="rId8">
        <w:r w:rsidR="000172AE" w:rsidRPr="00CD47A2">
          <w:rPr>
            <w:rFonts w:ascii="Goudy Old Style" w:hAnsi="Goudy Old Style"/>
            <w:color w:val="0000FF"/>
            <w:u w:val="single"/>
          </w:rPr>
          <w:t>musafir.pababbari@uin-alauddin.ac.id</w:t>
        </w:r>
      </w:hyperlink>
      <w:hyperlink r:id="rId9">
        <w:r w:rsidR="000172AE" w:rsidRPr="00CD47A2">
          <w:rPr>
            <w:rFonts w:ascii="Goudy Old Style" w:hAnsi="Goudy Old Style"/>
            <w:color w:val="000000"/>
            <w:u w:val="single"/>
            <w:vertAlign w:val="superscript"/>
          </w:rPr>
          <w:t>2</w:t>
        </w:r>
      </w:hyperlink>
      <w:r w:rsidR="00EA3694">
        <w:rPr>
          <w:rFonts w:ascii="Goudy Old Style" w:hAnsi="Goudy Old Style"/>
          <w:color w:val="000000"/>
          <w:u w:val="single"/>
          <w:lang w:val="en-US"/>
        </w:rPr>
        <w:t xml:space="preserve">, </w:t>
      </w:r>
      <w:hyperlink r:id="rId10" w:history="1">
        <w:r w:rsidR="00EA3694" w:rsidRPr="001362AF">
          <w:rPr>
            <w:rStyle w:val="Hyperlink"/>
            <w:rFonts w:ascii="Goudy Old Style" w:hAnsi="Goudy Old Style"/>
            <w:lang w:val="en-US"/>
          </w:rPr>
          <w:t>ahmadyani01@iainpare.ac.id</w:t>
        </w:r>
      </w:hyperlink>
      <w:r w:rsidR="00EA3694">
        <w:rPr>
          <w:rFonts w:ascii="Goudy Old Style" w:hAnsi="Goudy Old Style"/>
          <w:color w:val="000000"/>
          <w:vertAlign w:val="superscript"/>
          <w:lang w:val="en-US"/>
        </w:rPr>
        <w:t>3</w:t>
      </w:r>
      <w:r w:rsidR="00EA3694">
        <w:rPr>
          <w:rFonts w:ascii="Goudy Old Style" w:hAnsi="Goudy Old Style"/>
          <w:color w:val="000000"/>
          <w:lang w:val="en-US"/>
        </w:rPr>
        <w:t xml:space="preserve">, </w:t>
      </w:r>
      <w:r w:rsidR="00EA3694" w:rsidRPr="00EA3694">
        <w:rPr>
          <w:rFonts w:ascii="Goudy Old Style" w:hAnsi="Goudy Old Style"/>
          <w:color w:val="000000"/>
          <w:lang w:val="en-US"/>
        </w:rPr>
        <w:t>umarppuw23@gmail.com</w:t>
      </w:r>
      <w:r w:rsidR="00EA3694">
        <w:rPr>
          <w:rFonts w:ascii="Goudy Old Style" w:hAnsi="Goudy Old Style"/>
          <w:color w:val="000000"/>
          <w:vertAlign w:val="superscript"/>
          <w:lang w:val="en-US"/>
        </w:rPr>
        <w:t>4</w:t>
      </w:r>
    </w:p>
    <w:p w14:paraId="00000007" w14:textId="77777777" w:rsidR="000172AE" w:rsidRPr="00CD47A2" w:rsidRDefault="000172AE">
      <w:pPr>
        <w:pBdr>
          <w:top w:val="nil"/>
          <w:left w:val="nil"/>
          <w:bottom w:val="nil"/>
          <w:right w:val="nil"/>
          <w:between w:val="nil"/>
        </w:pBdr>
        <w:spacing w:line="240" w:lineRule="auto"/>
        <w:rPr>
          <w:rFonts w:ascii="Goudy Old Style" w:hAnsi="Goudy Old Style"/>
          <w:color w:val="000000"/>
        </w:rPr>
      </w:pPr>
    </w:p>
    <w:p w14:paraId="00000008" w14:textId="77777777" w:rsidR="000172AE" w:rsidRPr="00CD47A2" w:rsidRDefault="00583925">
      <w:pPr>
        <w:pBdr>
          <w:top w:val="nil"/>
          <w:left w:val="nil"/>
          <w:bottom w:val="nil"/>
          <w:right w:val="nil"/>
          <w:between w:val="nil"/>
        </w:pBdr>
        <w:spacing w:line="240" w:lineRule="auto"/>
        <w:jc w:val="right"/>
        <w:rPr>
          <w:rFonts w:ascii="Goudy Old Style" w:hAnsi="Goudy Old Style"/>
          <w:color w:val="000000"/>
          <w:sz w:val="20"/>
          <w:szCs w:val="20"/>
        </w:rPr>
      </w:pPr>
      <w:r w:rsidRPr="00CD47A2">
        <w:rPr>
          <w:rFonts w:ascii="Goudy Old Style" w:hAnsi="Goudy Old Style"/>
          <w:color w:val="000000"/>
          <w:sz w:val="20"/>
          <w:szCs w:val="20"/>
        </w:rPr>
        <w:t>Received: January 20, 2026</w:t>
      </w:r>
    </w:p>
    <w:p w14:paraId="00000009" w14:textId="77777777" w:rsidR="000172AE" w:rsidRPr="00CD47A2" w:rsidRDefault="00583925">
      <w:pPr>
        <w:pBdr>
          <w:top w:val="nil"/>
          <w:left w:val="nil"/>
          <w:bottom w:val="nil"/>
          <w:right w:val="nil"/>
          <w:between w:val="nil"/>
        </w:pBdr>
        <w:spacing w:line="240" w:lineRule="auto"/>
        <w:rPr>
          <w:rFonts w:ascii="Goudy Old Style" w:hAnsi="Goudy Old Style"/>
          <w:color w:val="000000"/>
          <w:sz w:val="20"/>
          <w:szCs w:val="20"/>
        </w:rPr>
      </w:pPr>
      <w:r w:rsidRPr="00CD47A2">
        <w:rPr>
          <w:rFonts w:ascii="Goudy Old Style" w:hAnsi="Goudy Old Style"/>
          <w:color w:val="000000"/>
          <w:sz w:val="20"/>
          <w:szCs w:val="20"/>
        </w:rPr>
        <w:tab/>
      </w:r>
      <w:r w:rsidRPr="00CD47A2">
        <w:rPr>
          <w:rFonts w:ascii="Goudy Old Style" w:hAnsi="Goudy Old Style"/>
          <w:color w:val="000000"/>
          <w:sz w:val="20"/>
          <w:szCs w:val="20"/>
        </w:rPr>
        <w:tab/>
      </w:r>
      <w:r w:rsidRPr="00CD47A2">
        <w:rPr>
          <w:rFonts w:ascii="Goudy Old Style" w:hAnsi="Goudy Old Style"/>
          <w:color w:val="000000"/>
          <w:sz w:val="20"/>
          <w:szCs w:val="20"/>
        </w:rPr>
        <w:tab/>
      </w:r>
      <w:r w:rsidRPr="00CD47A2">
        <w:rPr>
          <w:rFonts w:ascii="Goudy Old Style" w:hAnsi="Goudy Old Style"/>
          <w:color w:val="000000"/>
          <w:sz w:val="20"/>
          <w:szCs w:val="20"/>
        </w:rPr>
        <w:tab/>
      </w:r>
      <w:r w:rsidRPr="00CD47A2">
        <w:rPr>
          <w:rFonts w:ascii="Goudy Old Style" w:hAnsi="Goudy Old Style"/>
          <w:color w:val="000000"/>
          <w:sz w:val="20"/>
          <w:szCs w:val="20"/>
        </w:rPr>
        <w:tab/>
      </w:r>
      <w:r w:rsidRPr="00CD47A2">
        <w:rPr>
          <w:rFonts w:ascii="Goudy Old Style" w:hAnsi="Goudy Old Style"/>
          <w:color w:val="000000"/>
          <w:sz w:val="20"/>
          <w:szCs w:val="20"/>
        </w:rPr>
        <w:tab/>
      </w:r>
      <w:r w:rsidRPr="00CD47A2">
        <w:rPr>
          <w:rFonts w:ascii="Goudy Old Style" w:hAnsi="Goudy Old Style"/>
          <w:color w:val="000000"/>
          <w:sz w:val="20"/>
          <w:szCs w:val="20"/>
        </w:rPr>
        <w:tab/>
      </w:r>
      <w:r w:rsidRPr="00CD47A2">
        <w:rPr>
          <w:rFonts w:ascii="Goudy Old Style" w:hAnsi="Goudy Old Style"/>
          <w:color w:val="000000"/>
          <w:sz w:val="20"/>
          <w:szCs w:val="20"/>
        </w:rPr>
        <w:tab/>
      </w:r>
      <w:r w:rsidRPr="00CD47A2">
        <w:rPr>
          <w:rFonts w:ascii="Goudy Old Style" w:hAnsi="Goudy Old Style"/>
          <w:color w:val="000000"/>
          <w:sz w:val="20"/>
          <w:szCs w:val="20"/>
        </w:rPr>
        <w:tab/>
        <w:t xml:space="preserve">        Revised: May 16, 2026 </w:t>
      </w:r>
    </w:p>
    <w:p w14:paraId="0000000A" w14:textId="768E1381" w:rsidR="000172AE" w:rsidRPr="00CD47A2" w:rsidRDefault="00583925">
      <w:pPr>
        <w:pBdr>
          <w:top w:val="nil"/>
          <w:left w:val="nil"/>
          <w:bottom w:val="nil"/>
          <w:right w:val="nil"/>
          <w:between w:val="nil"/>
        </w:pBdr>
        <w:spacing w:line="240" w:lineRule="auto"/>
        <w:rPr>
          <w:rFonts w:ascii="Goudy Old Style" w:hAnsi="Goudy Old Style"/>
          <w:color w:val="000000"/>
          <w:sz w:val="20"/>
          <w:szCs w:val="20"/>
        </w:rPr>
      </w:pPr>
      <w:r w:rsidRPr="00CD47A2">
        <w:rPr>
          <w:rFonts w:ascii="Goudy Old Style" w:hAnsi="Goudy Old Style"/>
          <w:color w:val="000000"/>
          <w:sz w:val="20"/>
          <w:szCs w:val="20"/>
        </w:rPr>
        <w:tab/>
      </w:r>
      <w:r w:rsidRPr="00CD47A2">
        <w:rPr>
          <w:rFonts w:ascii="Goudy Old Style" w:hAnsi="Goudy Old Style"/>
          <w:color w:val="000000"/>
          <w:sz w:val="20"/>
          <w:szCs w:val="20"/>
        </w:rPr>
        <w:tab/>
      </w:r>
      <w:r w:rsidRPr="00CD47A2">
        <w:rPr>
          <w:rFonts w:ascii="Goudy Old Style" w:hAnsi="Goudy Old Style"/>
          <w:color w:val="000000"/>
          <w:sz w:val="20"/>
          <w:szCs w:val="20"/>
        </w:rPr>
        <w:tab/>
      </w:r>
      <w:r w:rsidRPr="00CD47A2">
        <w:rPr>
          <w:rFonts w:ascii="Goudy Old Style" w:hAnsi="Goudy Old Style"/>
          <w:color w:val="000000"/>
          <w:sz w:val="20"/>
          <w:szCs w:val="20"/>
        </w:rPr>
        <w:tab/>
      </w:r>
      <w:r w:rsidRPr="00CD47A2">
        <w:rPr>
          <w:rFonts w:ascii="Goudy Old Style" w:hAnsi="Goudy Old Style"/>
          <w:color w:val="000000"/>
          <w:sz w:val="20"/>
          <w:szCs w:val="20"/>
        </w:rPr>
        <w:tab/>
      </w:r>
      <w:r w:rsidRPr="00CD47A2">
        <w:rPr>
          <w:rFonts w:ascii="Goudy Old Style" w:hAnsi="Goudy Old Style"/>
          <w:color w:val="000000"/>
          <w:sz w:val="20"/>
          <w:szCs w:val="20"/>
        </w:rPr>
        <w:tab/>
      </w:r>
      <w:r w:rsidRPr="00CD47A2">
        <w:rPr>
          <w:rFonts w:ascii="Goudy Old Style" w:hAnsi="Goudy Old Style"/>
          <w:color w:val="000000"/>
          <w:sz w:val="20"/>
          <w:szCs w:val="20"/>
        </w:rPr>
        <w:tab/>
        <w:t xml:space="preserve"> </w:t>
      </w:r>
      <w:r w:rsidRPr="00CD47A2">
        <w:rPr>
          <w:rFonts w:ascii="Goudy Old Style" w:hAnsi="Goudy Old Style"/>
          <w:color w:val="000000"/>
          <w:sz w:val="20"/>
          <w:szCs w:val="20"/>
        </w:rPr>
        <w:tab/>
      </w:r>
      <w:r w:rsidRPr="00CD47A2">
        <w:rPr>
          <w:rFonts w:ascii="Goudy Old Style" w:hAnsi="Goudy Old Style"/>
          <w:color w:val="000000"/>
          <w:sz w:val="20"/>
          <w:szCs w:val="20"/>
        </w:rPr>
        <w:tab/>
        <w:t xml:space="preserve">        Accepted: June 16, 2026</w:t>
      </w:r>
    </w:p>
    <w:p w14:paraId="0000000B" w14:textId="77777777" w:rsidR="000172AE" w:rsidRPr="00CD47A2" w:rsidRDefault="000172AE">
      <w:pPr>
        <w:pBdr>
          <w:top w:val="nil"/>
          <w:left w:val="nil"/>
          <w:bottom w:val="nil"/>
          <w:right w:val="nil"/>
          <w:between w:val="nil"/>
        </w:pBdr>
        <w:spacing w:line="240" w:lineRule="auto"/>
        <w:jc w:val="left"/>
        <w:rPr>
          <w:rFonts w:ascii="Goudy Old Style" w:hAnsi="Goudy Old Style"/>
          <w:b/>
          <w:bCs/>
          <w:color w:val="000000"/>
        </w:rPr>
      </w:pPr>
    </w:p>
    <w:p w14:paraId="0000000C" w14:textId="77777777" w:rsidR="000172AE" w:rsidRPr="00CD47A2" w:rsidRDefault="00583925">
      <w:pPr>
        <w:pBdr>
          <w:top w:val="nil"/>
          <w:left w:val="nil"/>
          <w:bottom w:val="nil"/>
          <w:right w:val="nil"/>
          <w:between w:val="nil"/>
        </w:pBdr>
        <w:spacing w:line="240" w:lineRule="auto"/>
        <w:jc w:val="left"/>
        <w:rPr>
          <w:rFonts w:ascii="Goudy Old Style" w:hAnsi="Goudy Old Style"/>
          <w:b/>
          <w:bCs/>
          <w:i/>
          <w:iCs/>
          <w:color w:val="000000"/>
        </w:rPr>
      </w:pPr>
      <w:r w:rsidRPr="00CD47A2">
        <w:rPr>
          <w:rFonts w:ascii="Goudy Old Style" w:hAnsi="Goudy Old Style"/>
          <w:b/>
          <w:bCs/>
          <w:i/>
          <w:iCs/>
          <w:color w:val="000000"/>
        </w:rPr>
        <w:t>Abstract</w:t>
      </w:r>
    </w:p>
    <w:p w14:paraId="0000000D" w14:textId="77777777" w:rsidR="000172AE" w:rsidRPr="00CD47A2" w:rsidRDefault="00583925">
      <w:pPr>
        <w:pBdr>
          <w:top w:val="nil"/>
          <w:left w:val="nil"/>
          <w:bottom w:val="nil"/>
          <w:right w:val="nil"/>
          <w:between w:val="nil"/>
        </w:pBdr>
        <w:spacing w:line="240" w:lineRule="auto"/>
        <w:ind w:left="567"/>
        <w:rPr>
          <w:rFonts w:ascii="Goudy Old Style" w:hAnsi="Goudy Old Style"/>
          <w:i/>
          <w:iCs/>
          <w:color w:val="000000"/>
        </w:rPr>
      </w:pPr>
      <w:r w:rsidRPr="00CD47A2">
        <w:rPr>
          <w:rFonts w:ascii="Goudy Old Style" w:hAnsi="Goudy Old Style"/>
          <w:i/>
          <w:iCs/>
          <w:color w:val="000000"/>
        </w:rPr>
        <w:t xml:space="preserve">This study aims to analyze Ibn Khaldun’s historiographical thought in al-Muqaddimah and its relevance to modern </w:t>
      </w:r>
      <w:r w:rsidRPr="00CD47A2">
        <w:rPr>
          <w:rFonts w:ascii="Goudy Old Style" w:hAnsi="Goudy Old Style"/>
          <w:i/>
          <w:iCs/>
          <w:color w:val="000000"/>
        </w:rPr>
        <w:t xml:space="preserve">historiography. The research is motivated by the dominant tendency to regard scientific historiography as an exclusive product of Western modernity, thereby marginalizing contributions from Islamic intellectual traditions. This study employs a qualitative </w:t>
      </w:r>
      <w:r w:rsidRPr="00CD47A2">
        <w:rPr>
          <w:rFonts w:ascii="Goudy Old Style" w:hAnsi="Goudy Old Style"/>
          <w:i/>
          <w:iCs/>
          <w:color w:val="000000"/>
        </w:rPr>
        <w:t>library research method with an analytical-philosophical and comparative approach to al-Muqaddimah and modern historiographical literature. Data are examined through content analysis and conceptual synthesis to identify comparable methodological and episte</w:t>
      </w:r>
      <w:r w:rsidRPr="00CD47A2">
        <w:rPr>
          <w:rFonts w:ascii="Goudy Old Style" w:hAnsi="Goudy Old Style"/>
          <w:i/>
          <w:iCs/>
          <w:color w:val="000000"/>
        </w:rPr>
        <w:t>mological principles. The findings demonstrate that Ibn Khaldun formulated history as a critical science grounded in source verification, rational inquiry, and causal analysis. The concepts of ‘asabiyyah and ‘ilm al-‘umran emphasize social structures and m</w:t>
      </w:r>
      <w:r w:rsidRPr="00CD47A2">
        <w:rPr>
          <w:rFonts w:ascii="Goudy Old Style" w:hAnsi="Goudy Old Style"/>
          <w:i/>
          <w:iCs/>
          <w:color w:val="000000"/>
        </w:rPr>
        <w:t>aterial conditions as key factors in historical dynamics, closely aligning with social and interdisciplinary approaches in modern historiography. The discussion further reveals reflective similarities between Ibn Khaldun and modern historians regarding aut</w:t>
      </w:r>
      <w:r w:rsidRPr="00CD47A2">
        <w:rPr>
          <w:rFonts w:ascii="Goudy Old Style" w:hAnsi="Goudy Old Style"/>
          <w:i/>
          <w:iCs/>
          <w:color w:val="000000"/>
        </w:rPr>
        <w:t>horial subjectivity and methodological objectivity. The study concludes that Ibn Khaldun’s thought is methodologically and epistemologically relevant to modern historiography and significantly contributes to a more inclusive global historiographical discou</w:t>
      </w:r>
      <w:r w:rsidRPr="00CD47A2">
        <w:rPr>
          <w:rFonts w:ascii="Goudy Old Style" w:hAnsi="Goudy Old Style"/>
          <w:i/>
          <w:iCs/>
          <w:color w:val="000000"/>
        </w:rPr>
        <w:t>rse. This research encourages further cross-traditional historiographical studies and future inquiries into the application of Ibn Khaldun’s concepts in contemporary historical and social analysis.</w:t>
      </w:r>
    </w:p>
    <w:p w14:paraId="0000000E" w14:textId="77777777" w:rsidR="000172AE" w:rsidRPr="00CD47A2" w:rsidRDefault="00583925">
      <w:pPr>
        <w:pBdr>
          <w:top w:val="nil"/>
          <w:left w:val="nil"/>
          <w:bottom w:val="nil"/>
          <w:right w:val="nil"/>
          <w:between w:val="nil"/>
        </w:pBdr>
        <w:spacing w:line="240" w:lineRule="auto"/>
        <w:ind w:left="567"/>
        <w:rPr>
          <w:rFonts w:ascii="Goudy Old Style" w:hAnsi="Goudy Old Style"/>
          <w:i/>
          <w:iCs/>
          <w:color w:val="000000"/>
        </w:rPr>
      </w:pPr>
      <w:r w:rsidRPr="00CD47A2">
        <w:rPr>
          <w:rFonts w:ascii="Goudy Old Style" w:hAnsi="Goudy Old Style"/>
          <w:b/>
          <w:bCs/>
          <w:i/>
          <w:iCs/>
          <w:color w:val="000000"/>
        </w:rPr>
        <w:t>Keywords:</w:t>
      </w:r>
      <w:r w:rsidRPr="00CD47A2">
        <w:rPr>
          <w:rFonts w:ascii="Goudy Old Style" w:hAnsi="Goudy Old Style"/>
          <w:i/>
          <w:iCs/>
          <w:color w:val="000000"/>
        </w:rPr>
        <w:t xml:space="preserve"> Ibn Khaldun; Critical Historiography; Modern His</w:t>
      </w:r>
      <w:r w:rsidRPr="00CD47A2">
        <w:rPr>
          <w:rFonts w:ascii="Goudy Old Style" w:hAnsi="Goudy Old Style"/>
          <w:i/>
          <w:iCs/>
          <w:color w:val="000000"/>
        </w:rPr>
        <w:t>toriography.</w:t>
      </w:r>
    </w:p>
    <w:p w14:paraId="0000000F" w14:textId="77777777" w:rsidR="000172AE" w:rsidRPr="00CD47A2" w:rsidRDefault="000172AE">
      <w:pPr>
        <w:pBdr>
          <w:top w:val="nil"/>
          <w:left w:val="nil"/>
          <w:bottom w:val="nil"/>
          <w:right w:val="nil"/>
          <w:between w:val="nil"/>
        </w:pBdr>
        <w:spacing w:line="240" w:lineRule="auto"/>
        <w:jc w:val="left"/>
        <w:rPr>
          <w:rFonts w:ascii="Goudy Old Style" w:hAnsi="Goudy Old Style"/>
          <w:b/>
          <w:bCs/>
          <w:color w:val="000000"/>
        </w:rPr>
      </w:pPr>
    </w:p>
    <w:p w14:paraId="00000010" w14:textId="77777777" w:rsidR="000172AE" w:rsidRPr="00CD47A2" w:rsidRDefault="00583925">
      <w:pPr>
        <w:pBdr>
          <w:top w:val="nil"/>
          <w:left w:val="nil"/>
          <w:bottom w:val="nil"/>
          <w:right w:val="nil"/>
          <w:between w:val="nil"/>
        </w:pBdr>
        <w:spacing w:line="240" w:lineRule="auto"/>
        <w:jc w:val="left"/>
        <w:rPr>
          <w:rFonts w:ascii="Goudy Old Style" w:hAnsi="Goudy Old Style"/>
          <w:b/>
          <w:bCs/>
          <w:color w:val="000000"/>
        </w:rPr>
      </w:pPr>
      <w:r w:rsidRPr="00CD47A2">
        <w:rPr>
          <w:rFonts w:ascii="Goudy Old Style" w:hAnsi="Goudy Old Style"/>
          <w:b/>
          <w:bCs/>
          <w:color w:val="000000"/>
        </w:rPr>
        <w:t>Abstrak</w:t>
      </w:r>
    </w:p>
    <w:p w14:paraId="00000011" w14:textId="77777777" w:rsidR="000172AE" w:rsidRPr="00CD47A2" w:rsidRDefault="00583925">
      <w:pPr>
        <w:pBdr>
          <w:top w:val="nil"/>
          <w:left w:val="nil"/>
          <w:bottom w:val="nil"/>
          <w:right w:val="nil"/>
          <w:between w:val="nil"/>
        </w:pBdr>
        <w:spacing w:line="240" w:lineRule="auto"/>
        <w:ind w:left="567"/>
        <w:rPr>
          <w:rFonts w:ascii="Goudy Old Style" w:hAnsi="Goudy Old Style"/>
          <w:color w:val="000000"/>
        </w:rPr>
      </w:pPr>
      <w:r w:rsidRPr="00CD47A2">
        <w:rPr>
          <w:rFonts w:ascii="Goudy Old Style" w:hAnsi="Goudy Old Style"/>
          <w:color w:val="000000"/>
        </w:rPr>
        <w:t xml:space="preserve">Penelitian ini bertujuan menganalisis pemikiran historiografi Ibn Khaldun dalam al-Muqaddimah serta relevansinya terhadap historiografi modern. Kajian ini dilatarbelakangi oleh dominasi pandangan yang menempatkan historiografi ilmiah </w:t>
      </w:r>
      <w:r w:rsidRPr="00CD47A2">
        <w:rPr>
          <w:rFonts w:ascii="Goudy Old Style" w:hAnsi="Goudy Old Style"/>
          <w:color w:val="000000"/>
        </w:rPr>
        <w:t xml:space="preserve">sebagai produk eksklusif modernitas Barat, sehingga kontribusi tradisi intelektual Islam kerap terabaikan. Penelitian menggunakan metode kualitatif kepustakaan dengan pendekatan analitis-filosofis dan komparatif terhadap teks al-Muqaddimah serta literatur </w:t>
      </w:r>
      <w:r w:rsidRPr="00CD47A2">
        <w:rPr>
          <w:rFonts w:ascii="Goudy Old Style" w:hAnsi="Goudy Old Style"/>
          <w:color w:val="000000"/>
        </w:rPr>
        <w:t>historiografi modern. Teknik pengumpulan data dilakukan melalui studi dokumentasi dan penelusuran literatur yang relevan dari sumber primer maupun sekunder. Data dianalisis melalui analisis isi dan sintesis konseptual guna mengidentifikasi kesesuaian metod</w:t>
      </w:r>
      <w:r w:rsidRPr="00CD47A2">
        <w:rPr>
          <w:rFonts w:ascii="Goudy Old Style" w:hAnsi="Goudy Old Style"/>
          <w:color w:val="000000"/>
        </w:rPr>
        <w:t xml:space="preserve">ologis dan epistemologis di antara keduanya. Hasil penelitian menunjukkan bahwa Ibn Khaldun telah merumuskan sejarah sebagai ilmu kritis yang menekankan verifikasi sumber, rasionalitas, dan analisis </w:t>
      </w:r>
      <w:r w:rsidRPr="00CD47A2">
        <w:rPr>
          <w:rFonts w:ascii="Goudy Old Style" w:hAnsi="Goudy Old Style"/>
          <w:color w:val="000000"/>
        </w:rPr>
        <w:lastRenderedPageBreak/>
        <w:t>kausalitas. Konsep ‘</w:t>
      </w:r>
      <w:r w:rsidRPr="00CD47A2">
        <w:rPr>
          <w:rFonts w:ascii="Goudy Old Style" w:hAnsi="Goudy Old Style"/>
          <w:i/>
          <w:iCs/>
        </w:rPr>
        <w:t>ashabiyah</w:t>
      </w:r>
      <w:r w:rsidRPr="00CD47A2">
        <w:rPr>
          <w:rFonts w:ascii="Goudy Old Style" w:hAnsi="Goudy Old Style"/>
          <w:i/>
          <w:iCs/>
          <w:color w:val="000000"/>
        </w:rPr>
        <w:t xml:space="preserve"> dan ‘ilm al-‘umran</w:t>
      </w:r>
      <w:r w:rsidRPr="00CD47A2">
        <w:rPr>
          <w:rFonts w:ascii="Goudy Old Style" w:hAnsi="Goudy Old Style"/>
          <w:color w:val="000000"/>
        </w:rPr>
        <w:t xml:space="preserve"> menempatkan struktur sosial serta kondisi material sebagai faktor utama dinamika sejarah, sejalan dengan pendekatan sejarah sosial dan interdisipliner dalam historiografi kontemporer. Penelitian ini juga menemukan adanya kesamaan reflektif antara Ibn Khal</w:t>
      </w:r>
      <w:r w:rsidRPr="00CD47A2">
        <w:rPr>
          <w:rFonts w:ascii="Goudy Old Style" w:hAnsi="Goudy Old Style"/>
          <w:color w:val="000000"/>
        </w:rPr>
        <w:t>dun dan sejarawan modern terkait subjektivitas penulis sejarah serta pentingnya objektivitas metodologis. Dengan demikian, pemikiran Ibn Khaldun memiliki relevansi metodologis dan epistemologis yang signifikan terhadap perkembangan historiografi modern sek</w:t>
      </w:r>
      <w:r w:rsidRPr="00CD47A2">
        <w:rPr>
          <w:rFonts w:ascii="Goudy Old Style" w:hAnsi="Goudy Old Style"/>
          <w:color w:val="000000"/>
        </w:rPr>
        <w:t>aligus memperkuat pengakuan atas kontribusi tradisi intelektual Islam dalam wacana historiografi global yang lebih inklusif.</w:t>
      </w:r>
    </w:p>
    <w:p w14:paraId="00000012" w14:textId="77777777" w:rsidR="000172AE" w:rsidRPr="00CD47A2" w:rsidRDefault="00583925">
      <w:pPr>
        <w:pBdr>
          <w:top w:val="nil"/>
          <w:left w:val="nil"/>
          <w:bottom w:val="nil"/>
          <w:right w:val="nil"/>
          <w:between w:val="nil"/>
        </w:pBdr>
        <w:spacing w:line="240" w:lineRule="auto"/>
        <w:ind w:left="567"/>
        <w:rPr>
          <w:rFonts w:ascii="Goudy Old Style" w:hAnsi="Goudy Old Style"/>
          <w:i/>
          <w:iCs/>
          <w:color w:val="000000"/>
        </w:rPr>
      </w:pPr>
      <w:r w:rsidRPr="00CD47A2">
        <w:rPr>
          <w:rFonts w:ascii="Goudy Old Style" w:hAnsi="Goudy Old Style"/>
          <w:b/>
          <w:bCs/>
          <w:color w:val="000000"/>
        </w:rPr>
        <w:t>Kata Kunci</w:t>
      </w:r>
      <w:r w:rsidRPr="00CD47A2">
        <w:rPr>
          <w:rFonts w:ascii="Goudy Old Style" w:hAnsi="Goudy Old Style"/>
          <w:color w:val="000000"/>
        </w:rPr>
        <w:t>: Ibn Khaldun; Historiografi Kritis; Historiografi Modern.</w:t>
      </w:r>
    </w:p>
    <w:p w14:paraId="00000013" w14:textId="77777777" w:rsidR="000172AE" w:rsidRPr="00CD47A2" w:rsidRDefault="000172AE">
      <w:pPr>
        <w:pBdr>
          <w:top w:val="nil"/>
          <w:left w:val="nil"/>
          <w:bottom w:val="nil"/>
          <w:right w:val="nil"/>
          <w:between w:val="nil"/>
        </w:pBdr>
        <w:spacing w:after="240" w:line="240" w:lineRule="auto"/>
        <w:jc w:val="left"/>
        <w:rPr>
          <w:rFonts w:ascii="Goudy Old Style" w:hAnsi="Goudy Old Style"/>
          <w:b/>
          <w:bCs/>
          <w:color w:val="000000"/>
        </w:rPr>
      </w:pPr>
    </w:p>
    <w:p w14:paraId="00000014" w14:textId="77777777" w:rsidR="000172AE" w:rsidRPr="00CD47A2" w:rsidRDefault="00583925">
      <w:pPr>
        <w:pBdr>
          <w:top w:val="nil"/>
          <w:left w:val="nil"/>
          <w:bottom w:val="nil"/>
          <w:right w:val="nil"/>
          <w:between w:val="nil"/>
        </w:pBdr>
        <w:spacing w:line="240" w:lineRule="auto"/>
        <w:jc w:val="left"/>
        <w:rPr>
          <w:rFonts w:ascii="Goudy Old Style" w:hAnsi="Goudy Old Style"/>
          <w:b/>
          <w:bCs/>
          <w:color w:val="000000"/>
        </w:rPr>
      </w:pPr>
      <w:r w:rsidRPr="00CD47A2">
        <w:rPr>
          <w:rFonts w:ascii="Goudy Old Style" w:hAnsi="Goudy Old Style"/>
          <w:b/>
          <w:bCs/>
          <w:color w:val="000000"/>
        </w:rPr>
        <w:t>Pendahuluan</w:t>
      </w:r>
    </w:p>
    <w:p w14:paraId="00000015"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 xml:space="preserve">Pemikiran historiografi Ibn Khaldun </w:t>
      </w:r>
      <w:r w:rsidRPr="00CD47A2">
        <w:rPr>
          <w:rFonts w:ascii="Goudy Old Style" w:hAnsi="Goudy Old Style"/>
          <w:color w:val="000000"/>
        </w:rPr>
        <w:t>menempati posisi penting dalam sejarah perkembangan ilmu pengetahuan, khususnya dalam kajian sejarah sebagai disiplin ilmiah. Melalui karya monumentalnya al-Muqaddimah, Ibn Khaldun tidak memandang sejarah semata-mata sebagai kumpulan cerita atau kronik per</w:t>
      </w:r>
      <w:r w:rsidRPr="00CD47A2">
        <w:rPr>
          <w:rFonts w:ascii="Goudy Old Style" w:hAnsi="Goudy Old Style"/>
          <w:color w:val="000000"/>
        </w:rPr>
        <w:t>istiwa masa lampau, melainkan sebagai ilmu yang menuntut penalaran rasional, verifikasi sumber, serta analisis mendalam terhadap kondisi sosial, politik, ekonomi, dan moral masyarakat. Pandangan ini menandai pergeseran signifikan dari tradisi historiografi</w:t>
      </w:r>
      <w:r w:rsidRPr="00CD47A2">
        <w:rPr>
          <w:rFonts w:ascii="Goudy Old Style" w:hAnsi="Goudy Old Style"/>
          <w:color w:val="000000"/>
        </w:rPr>
        <w:t xml:space="preserve"> naratif menuju pendekatan yang lebih kritis dan analitis. Dalam konteks ini, Ibn Khaldun sering dipahami sebagai pemikir yang melampaui zamannya, karena gagasan-gagasannya memiliki kemiripan mendasar dengan prinsip historiografi modern yang baru berkemban</w:t>
      </w:r>
      <w:r w:rsidRPr="00CD47A2">
        <w:rPr>
          <w:rFonts w:ascii="Goudy Old Style" w:hAnsi="Goudy Old Style"/>
          <w:color w:val="000000"/>
        </w:rPr>
        <w:t>g berabad-abad kemudian.</w:t>
      </w:r>
      <w:r w:rsidRPr="00CD47A2">
        <w:rPr>
          <w:rFonts w:ascii="Goudy Old Style" w:hAnsi="Goudy Old Style"/>
          <w:color w:val="000000"/>
          <w:vertAlign w:val="superscript"/>
        </w:rPr>
        <w:footnoteReference w:id="1"/>
      </w:r>
    </w:p>
    <w:p w14:paraId="00000016"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Urgensi kajian terhadap historiografi Ibn Khaldun semakin menguat seiring berkembangnya historiografi modern yang menekankan objektivitas, kritik sumber, dan analisis sebab-akibat dalam memahami peristiwa sejarah. Sejumlah kajian</w:t>
      </w:r>
      <w:r w:rsidRPr="00CD47A2">
        <w:rPr>
          <w:rFonts w:ascii="Goudy Old Style" w:hAnsi="Goudy Old Style"/>
          <w:color w:val="000000"/>
        </w:rPr>
        <w:t xml:space="preserve"> mutakhir menunjukkan bahwa historiografi modern tidak lagi berfokus pada tokoh besar dan kronologi semata, tetapi berupaya membaca sejarah sebagai proses sosial yang kompleks.</w:t>
      </w:r>
      <w:r w:rsidRPr="00CD47A2">
        <w:rPr>
          <w:rFonts w:ascii="Goudy Old Style" w:hAnsi="Goudy Old Style"/>
          <w:color w:val="000000"/>
          <w:vertAlign w:val="superscript"/>
        </w:rPr>
        <w:footnoteReference w:id="2"/>
      </w:r>
      <w:r w:rsidRPr="00CD47A2">
        <w:rPr>
          <w:rFonts w:ascii="Goudy Old Style" w:hAnsi="Goudy Old Style"/>
          <w:color w:val="000000"/>
        </w:rPr>
        <w:t xml:space="preserve"> Dalam kerangka ini, pemikiran Ibn Khaldun, khususnya konsep </w:t>
      </w:r>
      <w:r w:rsidRPr="00CD47A2">
        <w:rPr>
          <w:rFonts w:ascii="Goudy Old Style" w:hAnsi="Goudy Old Style"/>
          <w:i/>
          <w:iCs/>
          <w:color w:val="000000"/>
        </w:rPr>
        <w:t>‘</w:t>
      </w:r>
      <w:r w:rsidRPr="00CD47A2">
        <w:rPr>
          <w:rFonts w:ascii="Goudy Old Style" w:hAnsi="Goudy Old Style"/>
          <w:i/>
          <w:iCs/>
        </w:rPr>
        <w:t>ashabiyah</w:t>
      </w:r>
      <w:r w:rsidRPr="00CD47A2">
        <w:rPr>
          <w:rFonts w:ascii="Goudy Old Style" w:hAnsi="Goudy Old Style"/>
          <w:color w:val="000000"/>
        </w:rPr>
        <w:t xml:space="preserve"> dan </w:t>
      </w:r>
      <w:r w:rsidRPr="00CD47A2">
        <w:rPr>
          <w:rFonts w:ascii="Goudy Old Style" w:hAnsi="Goudy Old Style"/>
          <w:i/>
          <w:iCs/>
          <w:color w:val="000000"/>
        </w:rPr>
        <w:t>‘u</w:t>
      </w:r>
      <w:r w:rsidRPr="00CD47A2">
        <w:rPr>
          <w:rFonts w:ascii="Goudy Old Style" w:hAnsi="Goudy Old Style"/>
          <w:i/>
          <w:iCs/>
          <w:color w:val="000000"/>
        </w:rPr>
        <w:t>mran</w:t>
      </w:r>
      <w:r w:rsidRPr="00CD47A2">
        <w:rPr>
          <w:rFonts w:ascii="Goudy Old Style" w:hAnsi="Goudy Old Style"/>
          <w:color w:val="000000"/>
        </w:rPr>
        <w:t>, kembali mendapat perhatian karena dinilai mampu memberikan kerangka teoritis alternatif yang bersifat holistik. Literatur kontemporer juga menegaskan bahwa pendekatan Ibn Khaldun relevan untuk menjembatani tradisi keilmuan Islam dengan paradigma seja</w:t>
      </w:r>
      <w:r w:rsidRPr="00CD47A2">
        <w:rPr>
          <w:rFonts w:ascii="Goudy Old Style" w:hAnsi="Goudy Old Style"/>
          <w:color w:val="000000"/>
        </w:rPr>
        <w:t>rah modern, terutama dalam hal metodologi dan epistemologi sejarah.</w:t>
      </w:r>
    </w:p>
    <w:p w14:paraId="00000017"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Meskipun demikian, masih terdapat kecenderungan dalam sebagian kajian yang memposisikan Ibn Khaldun hanya sebagai tokoh sejarah pemikiran Islam, bukan sebagai bagian integral dari diskursu</w:t>
      </w:r>
      <w:r w:rsidRPr="00CD47A2">
        <w:rPr>
          <w:rFonts w:ascii="Goudy Old Style" w:hAnsi="Goudy Old Style"/>
          <w:color w:val="000000"/>
        </w:rPr>
        <w:t>s historiografi modern. Permasalahan utama yang muncul adalah bagaimana menempatkan historiografi Ibn Khaldun secara proporsional dalam peta perkembangan ilmu sejarah global, serta sejauh mana pemikirannya dapat dipahami sebagai fondasi atau mitra dialog b</w:t>
      </w:r>
      <w:r w:rsidRPr="00CD47A2">
        <w:rPr>
          <w:rFonts w:ascii="Goudy Old Style" w:hAnsi="Goudy Old Style"/>
          <w:color w:val="000000"/>
        </w:rPr>
        <w:t>agi historiografi modern.</w:t>
      </w:r>
      <w:r w:rsidRPr="00CD47A2">
        <w:rPr>
          <w:rFonts w:ascii="Goudy Old Style" w:hAnsi="Goudy Old Style"/>
          <w:color w:val="000000"/>
          <w:vertAlign w:val="superscript"/>
        </w:rPr>
        <w:footnoteReference w:id="3"/>
      </w:r>
      <w:r w:rsidRPr="00CD47A2">
        <w:rPr>
          <w:rFonts w:ascii="Goudy Old Style" w:hAnsi="Goudy Old Style"/>
          <w:color w:val="000000"/>
        </w:rPr>
        <w:t xml:space="preserve"> Pertanyaan ini penting untuk diajukan agar </w:t>
      </w:r>
      <w:r w:rsidRPr="00CD47A2">
        <w:rPr>
          <w:rFonts w:ascii="Goudy Old Style" w:hAnsi="Goudy Old Style"/>
          <w:color w:val="000000"/>
        </w:rPr>
        <w:lastRenderedPageBreak/>
        <w:t>kontribusi intelektual Ibn Khaldun tidak berhenti pada pengakuan simbolik, tetapi dapat diintegrasikan secara konseptual dalam kajian sejarah kontemporer.</w:t>
      </w:r>
    </w:p>
    <w:p w14:paraId="00000018"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Berdasarkan permasalahan terse</w:t>
      </w:r>
      <w:r w:rsidRPr="00CD47A2">
        <w:rPr>
          <w:rFonts w:ascii="Goudy Old Style" w:hAnsi="Goudy Old Style"/>
          <w:color w:val="000000"/>
        </w:rPr>
        <w:t xml:space="preserve">but, pendekatan solutif yang digunakan dalam kajian ini bersifat analitis dan komparatif. Pendekatan ini memungkinkan pemikiran historiografi Ibn Khaldun dibaca secara mendalam dengan menelaah konsep, metode, dan tujuan penulisan sejarah yang ia tawarkan, </w:t>
      </w:r>
      <w:r w:rsidRPr="00CD47A2">
        <w:rPr>
          <w:rFonts w:ascii="Goudy Old Style" w:hAnsi="Goudy Old Style"/>
          <w:color w:val="000000"/>
        </w:rPr>
        <w:t>kemudian dibandingkan dengan prinsip-prinsip utama historiografi modern. Dengan demikian, kajian ini tidak hanya berupaya menunjukkan adanya kesamaan atau perbedaan, tetapi juga menafsirkan makna epistemologis dari pertemuan dua tradisi keilmuan yang berbe</w:t>
      </w:r>
      <w:r w:rsidRPr="00CD47A2">
        <w:rPr>
          <w:rFonts w:ascii="Goudy Old Style" w:hAnsi="Goudy Old Style"/>
          <w:color w:val="000000"/>
        </w:rPr>
        <w:t>da latar historis dan kultural.</w:t>
      </w:r>
    </w:p>
    <w:p w14:paraId="00000019"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Secara lebih spesifik, solusi yang ditawarkan dalam penelitian ini adalah penafsiran Ibn Khaldun sebagai jembatan intelektual antara tradisi Islam dan sejarah modern. Melalui pembacaan kritis terhadap al-Muqaddimah, peneliti</w:t>
      </w:r>
      <w:r w:rsidRPr="00CD47A2">
        <w:rPr>
          <w:rFonts w:ascii="Goudy Old Style" w:hAnsi="Goudy Old Style"/>
          <w:color w:val="000000"/>
        </w:rPr>
        <w:t>an ini menekankan bahwa Ibn Khaldun telah merumuskan prinsip-prinsip dasar historiografi kritis, seperti keharusan verifikasi sumber, penolakan terhadap bias subjektif, serta analisis sebab-akibat dalam peristiwa sejarah. Prinsip-prinsip ini memiliki kores</w:t>
      </w:r>
      <w:r w:rsidRPr="00CD47A2">
        <w:rPr>
          <w:rFonts w:ascii="Goudy Old Style" w:hAnsi="Goudy Old Style"/>
          <w:color w:val="000000"/>
        </w:rPr>
        <w:t>pondensi yang kuat dengan metodologi sejarah modern, sehingga memungkinkan terjadinya dialog epistemologis yang produktif antara keduanya.</w:t>
      </w:r>
    </w:p>
    <w:p w14:paraId="0000001A"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Upaya ilmiah untuk mengaitkan pemikiran Ibn Khaldun dengan historiografi modern sebenarnya telah dilakukan dalam seju</w:t>
      </w:r>
      <w:r w:rsidRPr="00CD47A2">
        <w:rPr>
          <w:rFonts w:ascii="Goudy Old Style" w:hAnsi="Goudy Old Style"/>
          <w:color w:val="000000"/>
        </w:rPr>
        <w:t>mlah penelitian sebelumnya. Namun, sebagian kajian tersebut masih bersifat deskriptif atau menempatkan Ibn Khaldun sekadar sebagai pendahulu historiografi modern tanpa analisis kritis yang memadai.</w:t>
      </w:r>
      <w:r w:rsidRPr="00CD47A2">
        <w:rPr>
          <w:rFonts w:ascii="Goudy Old Style" w:hAnsi="Goudy Old Style"/>
          <w:color w:val="000000"/>
          <w:vertAlign w:val="superscript"/>
        </w:rPr>
        <w:footnoteReference w:id="4"/>
      </w:r>
      <w:r w:rsidRPr="00CD47A2">
        <w:rPr>
          <w:rFonts w:ascii="Goudy Old Style" w:hAnsi="Goudy Old Style"/>
          <w:color w:val="000000"/>
        </w:rPr>
        <w:t xml:space="preserve"> Di sisi lain, kajian historiografi modern sering kali me</w:t>
      </w:r>
      <w:r w:rsidRPr="00CD47A2">
        <w:rPr>
          <w:rFonts w:ascii="Goudy Old Style" w:hAnsi="Goudy Old Style"/>
          <w:color w:val="000000"/>
        </w:rPr>
        <w:t>ngabaikan kontribusi tradisi intelektual non-Barat, termasuk Islam, dalam pembentukan metode sejarah ilmiah. Kondisi ini menunjukkan perlunya kajian yang lebih sistematis dan argumentatif untuk menempatkan Ibn Khaldun secara setara dalam diskursus historio</w:t>
      </w:r>
      <w:r w:rsidRPr="00CD47A2">
        <w:rPr>
          <w:rFonts w:ascii="Goudy Old Style" w:hAnsi="Goudy Old Style"/>
          <w:color w:val="000000"/>
        </w:rPr>
        <w:t>grafi global.</w:t>
      </w:r>
    </w:p>
    <w:p w14:paraId="0000001B"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 xml:space="preserve">Tinjauan literatur yang berkaitan langsung dengan solusi yang ditawarkan memperlihatkan adanya celah penelitian yang signifikan. Literatur tentang Ibn Khaldun umumnya berfokus pada biografi, konteks historis, atau konsep </w:t>
      </w:r>
      <w:r w:rsidRPr="00CD47A2">
        <w:rPr>
          <w:rFonts w:ascii="Goudy Old Style" w:hAnsi="Goudy Old Style"/>
          <w:i/>
          <w:iCs/>
          <w:color w:val="000000"/>
        </w:rPr>
        <w:t>‘</w:t>
      </w:r>
      <w:r w:rsidRPr="00CD47A2">
        <w:rPr>
          <w:rFonts w:ascii="Goudy Old Style" w:hAnsi="Goudy Old Style"/>
          <w:i/>
          <w:iCs/>
        </w:rPr>
        <w:t>ashabiyah</w:t>
      </w:r>
      <w:r w:rsidRPr="00CD47A2">
        <w:rPr>
          <w:rFonts w:ascii="Goudy Old Style" w:hAnsi="Goudy Old Style"/>
          <w:color w:val="000000"/>
        </w:rPr>
        <w:t xml:space="preserve"> secara ter</w:t>
      </w:r>
      <w:r w:rsidRPr="00CD47A2">
        <w:rPr>
          <w:rFonts w:ascii="Goudy Old Style" w:hAnsi="Goudy Old Style"/>
          <w:color w:val="000000"/>
        </w:rPr>
        <w:t>pisah, sementara literatur historiografi modern lebih menekankan perkembangan metodologi di Barat. Kajian yang secara eksplisit memosisikan Ibn Khaldun sebagai penghubung konseptual</w:t>
      </w:r>
      <w:r w:rsidRPr="00CD47A2">
        <w:rPr>
          <w:rFonts w:ascii="Goudy Old Style" w:hAnsi="Goudy Old Style"/>
          <w:color w:val="000000"/>
          <w:vertAlign w:val="superscript"/>
        </w:rPr>
        <w:footnoteReference w:id="5"/>
      </w:r>
      <w:r w:rsidRPr="00CD47A2">
        <w:rPr>
          <w:rFonts w:ascii="Goudy Old Style" w:hAnsi="Goudy Old Style"/>
          <w:color w:val="000000"/>
        </w:rPr>
        <w:t>antara kedua tradisi tersebut masih relatif terbatas. Celah inilah yang m</w:t>
      </w:r>
      <w:r w:rsidRPr="00CD47A2">
        <w:rPr>
          <w:rFonts w:ascii="Goudy Old Style" w:hAnsi="Goudy Old Style"/>
          <w:color w:val="000000"/>
        </w:rPr>
        <w:t>enjadi ruang akademik bagi penelitian ini untuk memberikan kontribusi baru.</w:t>
      </w:r>
    </w:p>
    <w:p w14:paraId="0000001C"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 xml:space="preserve">Secara </w:t>
      </w:r>
      <w:r w:rsidRPr="00CD47A2">
        <w:rPr>
          <w:rFonts w:ascii="Goudy Old Style" w:hAnsi="Goudy Old Style"/>
        </w:rPr>
        <w:t>teoritis</w:t>
      </w:r>
      <w:r w:rsidRPr="00CD47A2">
        <w:rPr>
          <w:rFonts w:ascii="Goudy Old Style" w:hAnsi="Goudy Old Style"/>
          <w:color w:val="000000"/>
        </w:rPr>
        <w:t xml:space="preserve">, penelitian ini berpijak pada konsep historiografi kritis yang memandang sejarah bukan sekadar rekaman fakta masa lalu, melainkan hasil konstruksi intelektual yang </w:t>
      </w:r>
      <w:r w:rsidRPr="00CD47A2">
        <w:rPr>
          <w:rFonts w:ascii="Goudy Old Style" w:hAnsi="Goudy Old Style"/>
          <w:color w:val="000000"/>
        </w:rPr>
        <w:t>dibentuk melalui proses seleksi, interpretasi, dan analisis sumber secara kritis. Dalam historiografi modern, E.H. Carr menegaskan bahwa fakta sejarah tidak pernah berdiri sendiri, tetapi selalu dipahami melalui interaksi antara sejarawan dan fakta yang di</w:t>
      </w:r>
      <w:r w:rsidRPr="00CD47A2">
        <w:rPr>
          <w:rFonts w:ascii="Goudy Old Style" w:hAnsi="Goudy Old Style"/>
          <w:color w:val="000000"/>
        </w:rPr>
        <w:t>teliti. Pandangan ini memperlihatkan bahwa objektivitas sejarah bersifat metodologis dan menuntut kesadaran reflektif terhadap posisi penulis sejarah. Landasan teoritis tersebut relevan dengan pendekatan Ibn Khaldun yang menekankan verifikasi berita sejara</w:t>
      </w:r>
      <w:r w:rsidRPr="00CD47A2">
        <w:rPr>
          <w:rFonts w:ascii="Goudy Old Style" w:hAnsi="Goudy Old Style"/>
          <w:color w:val="000000"/>
        </w:rPr>
        <w:t>h, penggunaan rasionalitas, serta kritik terhadap bias dan fanatisme dalam penulisan sejarah.</w:t>
      </w:r>
    </w:p>
    <w:p w14:paraId="0000001D"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lastRenderedPageBreak/>
        <w:t>Dengan demikian, tujuan utama penelitian ini adalah menganalisis historiografi kritis Ibn Khaldun dan menafsirkan perannya sebagai jembatan intelektual antara tra</w:t>
      </w:r>
      <w:r w:rsidRPr="00CD47A2">
        <w:rPr>
          <w:rFonts w:ascii="Goudy Old Style" w:hAnsi="Goudy Old Style"/>
          <w:color w:val="000000"/>
        </w:rPr>
        <w:t>disi Islam dan sejarah modern. Kebaruan penelitian terletak pada pendekatan integratif yang tidak hanya membandingkan, tetapi juga mendialogkan dua tradisi historiografi dalam satu kerangka analisis. Hipotesis yang diajukan adalah bahwa pemikiran historiog</w:t>
      </w:r>
      <w:r w:rsidRPr="00CD47A2">
        <w:rPr>
          <w:rFonts w:ascii="Goudy Old Style" w:hAnsi="Goudy Old Style"/>
          <w:color w:val="000000"/>
        </w:rPr>
        <w:t>rafi Ibn Khaldun memiliki keselarasan metodologis yang signifikan dengan historiografi modern dan dapat dipahami sebagai salah satu fondasi awal bagi perkembangan sejarah ilmiah. Ruang lingkup penelitian ini dibatasi pada kajian konseptual dan metodologis,</w:t>
      </w:r>
      <w:r w:rsidRPr="00CD47A2">
        <w:rPr>
          <w:rFonts w:ascii="Goudy Old Style" w:hAnsi="Goudy Old Style"/>
          <w:color w:val="000000"/>
        </w:rPr>
        <w:t xml:space="preserve"> dengan fokus pada teks al-Muqaddimah dan literatur historiografi modern yang relevan, tanpa memasuki analisis empiris terhadap kasus sejarah tertentu.</w:t>
      </w:r>
    </w:p>
    <w:p w14:paraId="0000001E" w14:textId="77777777" w:rsidR="000172AE" w:rsidRPr="00CD47A2" w:rsidRDefault="000172AE">
      <w:pPr>
        <w:pBdr>
          <w:top w:val="nil"/>
          <w:left w:val="nil"/>
          <w:bottom w:val="nil"/>
          <w:right w:val="nil"/>
          <w:between w:val="nil"/>
        </w:pBdr>
        <w:spacing w:line="240" w:lineRule="auto"/>
        <w:ind w:firstLine="567"/>
        <w:rPr>
          <w:rFonts w:ascii="Goudy Old Style" w:hAnsi="Goudy Old Style"/>
          <w:color w:val="000000"/>
        </w:rPr>
      </w:pPr>
    </w:p>
    <w:p w14:paraId="0000001F" w14:textId="77777777" w:rsidR="000172AE" w:rsidRPr="00CD47A2" w:rsidRDefault="00583925">
      <w:pPr>
        <w:pBdr>
          <w:top w:val="nil"/>
          <w:left w:val="nil"/>
          <w:bottom w:val="nil"/>
          <w:right w:val="nil"/>
          <w:between w:val="nil"/>
        </w:pBdr>
        <w:spacing w:line="240" w:lineRule="auto"/>
        <w:rPr>
          <w:rFonts w:ascii="Goudy Old Style" w:hAnsi="Goudy Old Style"/>
          <w:b/>
          <w:bCs/>
          <w:color w:val="000000"/>
        </w:rPr>
      </w:pPr>
      <w:r w:rsidRPr="00CD47A2">
        <w:rPr>
          <w:rFonts w:ascii="Goudy Old Style" w:hAnsi="Goudy Old Style"/>
          <w:b/>
          <w:bCs/>
          <w:color w:val="000000"/>
        </w:rPr>
        <w:t>Metode</w:t>
      </w:r>
    </w:p>
    <w:p w14:paraId="00000020"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Penelitian ini menggunakan pendekatan kualitatif dengan jenis penelitian kepustakaan (</w:t>
      </w:r>
      <w:r w:rsidRPr="00CD47A2">
        <w:rPr>
          <w:rFonts w:ascii="Goudy Old Style" w:hAnsi="Goudy Old Style"/>
          <w:i/>
          <w:iCs/>
          <w:color w:val="000000"/>
        </w:rPr>
        <w:t>library research</w:t>
      </w:r>
      <w:r w:rsidRPr="00CD47A2">
        <w:rPr>
          <w:rFonts w:ascii="Goudy Old Style" w:hAnsi="Goudy Old Style"/>
          <w:color w:val="000000"/>
        </w:rPr>
        <w:t>) untuk mengkaji pemikiran historiografi Ibn Khaldun dalam al-Muqaddimah serta relevansinya dengan historiografi modern. Pendekatan ini dipilih karena objek penelitian berupa gagasan, konsep, dan pemikiran yang terdapat dalam teks klasik da</w:t>
      </w:r>
      <w:r w:rsidRPr="00CD47A2">
        <w:rPr>
          <w:rFonts w:ascii="Goudy Old Style" w:hAnsi="Goudy Old Style"/>
          <w:color w:val="000000"/>
        </w:rPr>
        <w:t>n modern, sehingga memerlukan analisis konseptual dan filosofis secara mendalam. Secara epistemologis, penelitian bersifat analitis-filosofis dan komparatif, dengan menguraikan konsep-konsep utama historiografi Ibn Khaldun seperti kritik sumber, rasionalit</w:t>
      </w:r>
      <w:r w:rsidRPr="00CD47A2">
        <w:rPr>
          <w:rFonts w:ascii="Goudy Old Style" w:hAnsi="Goudy Old Style"/>
          <w:color w:val="000000"/>
        </w:rPr>
        <w:t xml:space="preserve">as, analisis sebab-akibat, </w:t>
      </w:r>
      <w:r w:rsidRPr="00CD47A2">
        <w:rPr>
          <w:rFonts w:ascii="Goudy Old Style" w:hAnsi="Goudy Old Style"/>
          <w:i/>
          <w:iCs/>
          <w:color w:val="000000"/>
        </w:rPr>
        <w:t>‘asabiyyah</w:t>
      </w:r>
      <w:r w:rsidRPr="00CD47A2">
        <w:rPr>
          <w:rFonts w:ascii="Goudy Old Style" w:hAnsi="Goudy Old Style"/>
          <w:color w:val="000000"/>
        </w:rPr>
        <w:t xml:space="preserve">, dan </w:t>
      </w:r>
      <w:r w:rsidRPr="00CD47A2">
        <w:rPr>
          <w:rFonts w:ascii="Goudy Old Style" w:hAnsi="Goudy Old Style"/>
          <w:i/>
          <w:iCs/>
          <w:color w:val="000000"/>
        </w:rPr>
        <w:t>‘ilm al-‘umran</w:t>
      </w:r>
      <w:r w:rsidRPr="00CD47A2">
        <w:rPr>
          <w:rFonts w:ascii="Goudy Old Style" w:hAnsi="Goudy Old Style"/>
          <w:color w:val="000000"/>
        </w:rPr>
        <w:t>, kemudian membandingkannya dengan prinsip-prinsip historiografi modern.</w:t>
      </w:r>
    </w:p>
    <w:p w14:paraId="00000021"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Sumber data penelitian terdiri atas sumber primer dan sekunder. Sumber primer berupa teks al-Muqaddimah karya Ibn Khaldun dala</w:t>
      </w:r>
      <w:r w:rsidRPr="00CD47A2">
        <w:rPr>
          <w:rFonts w:ascii="Goudy Old Style" w:hAnsi="Goudy Old Style"/>
          <w:color w:val="000000"/>
        </w:rPr>
        <w:t>m edisi Arab maupun terjemahan akademik, sedangkan sumber sekunder meliputi buku, artikel jurnal, dan karya ilmiah yang membahas historiografi Islam serta historiografi modern. Teknik pengumpulan data dilakukan melalui studi dokumentasi dan penelusuran lit</w:t>
      </w:r>
      <w:r w:rsidRPr="00CD47A2">
        <w:rPr>
          <w:rFonts w:ascii="Goudy Old Style" w:hAnsi="Goudy Old Style"/>
          <w:color w:val="000000"/>
        </w:rPr>
        <w:t>eratur secara sistematis dengan menyeleksi sumber berdasarkan relevansi tema dan kredibilitas akademik. Data dikumpulkan melalui pembacaan intensif, pencatatan konsep-konsep utama, serta identifikasi argumen yang berkaitan dengan historiografi kritis. Anal</w:t>
      </w:r>
      <w:r w:rsidRPr="00CD47A2">
        <w:rPr>
          <w:rFonts w:ascii="Goudy Old Style" w:hAnsi="Goudy Old Style"/>
          <w:color w:val="000000"/>
        </w:rPr>
        <w:t>isis data menggunakan metode analisis isi (</w:t>
      </w:r>
      <w:r w:rsidRPr="00CD47A2">
        <w:rPr>
          <w:rFonts w:ascii="Goudy Old Style" w:hAnsi="Goudy Old Style"/>
          <w:i/>
          <w:iCs/>
          <w:color w:val="000000"/>
        </w:rPr>
        <w:t>content analysis</w:t>
      </w:r>
      <w:r w:rsidRPr="00CD47A2">
        <w:rPr>
          <w:rFonts w:ascii="Goudy Old Style" w:hAnsi="Goudy Old Style"/>
          <w:color w:val="000000"/>
        </w:rPr>
        <w:t xml:space="preserve">) dan analisis komparatif-konseptual untuk menemukan kesamaan, perbedaan, dan relevansi metodologis antara pemikiran Ibn Khaldun dan historiografi modern. Keabsahan data dijaga melalui triangulasi </w:t>
      </w:r>
      <w:r w:rsidRPr="00CD47A2">
        <w:rPr>
          <w:rFonts w:ascii="Goudy Old Style" w:hAnsi="Goudy Old Style"/>
          <w:color w:val="000000"/>
        </w:rPr>
        <w:t>sumber dan konsistensi interpretatif dengan membandingkan berbagai literatur terkait serta merujuk langsung pada teks al-Muqaddimah guna memastikan validitas argumentasi penelitian.</w:t>
      </w:r>
    </w:p>
    <w:p w14:paraId="00000022" w14:textId="77777777" w:rsidR="000172AE" w:rsidRPr="00CD47A2" w:rsidRDefault="000172AE">
      <w:pPr>
        <w:pBdr>
          <w:top w:val="nil"/>
          <w:left w:val="nil"/>
          <w:bottom w:val="nil"/>
          <w:right w:val="nil"/>
          <w:between w:val="nil"/>
        </w:pBdr>
        <w:spacing w:line="240" w:lineRule="auto"/>
        <w:ind w:firstLine="567"/>
        <w:rPr>
          <w:rFonts w:ascii="Goudy Old Style" w:hAnsi="Goudy Old Style"/>
          <w:color w:val="000000"/>
        </w:rPr>
      </w:pPr>
    </w:p>
    <w:p w14:paraId="00000023" w14:textId="77777777" w:rsidR="000172AE" w:rsidRPr="00CD47A2" w:rsidRDefault="00583925">
      <w:pPr>
        <w:pBdr>
          <w:top w:val="nil"/>
          <w:left w:val="nil"/>
          <w:bottom w:val="nil"/>
          <w:right w:val="nil"/>
          <w:between w:val="nil"/>
        </w:pBdr>
        <w:spacing w:line="240" w:lineRule="auto"/>
        <w:rPr>
          <w:rFonts w:ascii="Goudy Old Style" w:hAnsi="Goudy Old Style"/>
          <w:b/>
          <w:bCs/>
          <w:color w:val="000000"/>
        </w:rPr>
      </w:pPr>
      <w:r w:rsidRPr="00CD47A2">
        <w:rPr>
          <w:rFonts w:ascii="Goudy Old Style" w:hAnsi="Goudy Old Style"/>
          <w:b/>
          <w:bCs/>
          <w:color w:val="000000"/>
        </w:rPr>
        <w:t>Penemuan dan Pembahasan</w:t>
      </w:r>
    </w:p>
    <w:p w14:paraId="00000024" w14:textId="77777777" w:rsidR="000172AE" w:rsidRPr="00CD47A2" w:rsidRDefault="00583925">
      <w:pPr>
        <w:pBdr>
          <w:top w:val="nil"/>
          <w:left w:val="nil"/>
          <w:bottom w:val="nil"/>
          <w:right w:val="nil"/>
          <w:between w:val="nil"/>
        </w:pBdr>
        <w:spacing w:line="240" w:lineRule="auto"/>
        <w:rPr>
          <w:rFonts w:ascii="Goudy Old Style" w:hAnsi="Goudy Old Style"/>
          <w:b/>
          <w:bCs/>
          <w:color w:val="000000"/>
        </w:rPr>
      </w:pPr>
      <w:r w:rsidRPr="00CD47A2">
        <w:rPr>
          <w:rFonts w:ascii="Goudy Old Style" w:hAnsi="Goudy Old Style"/>
          <w:b/>
          <w:bCs/>
          <w:color w:val="000000"/>
        </w:rPr>
        <w:t xml:space="preserve">Konsep dan Metodologi Historiografi Ibn </w:t>
      </w:r>
      <w:r w:rsidRPr="00CD47A2">
        <w:rPr>
          <w:rFonts w:ascii="Goudy Old Style" w:hAnsi="Goudy Old Style"/>
          <w:b/>
          <w:bCs/>
          <w:color w:val="000000"/>
        </w:rPr>
        <w:t>Khaldun dalam al-Muqaddimah</w:t>
      </w:r>
    </w:p>
    <w:p w14:paraId="00000025"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Bagian ini membahas secara mendalam konsep dan metodologi historiografi Ibn Khaldun sebagaimana dirumuskan dalam al-Muqaddimah, yang merupakan pengantar teoritis dari karya monumentalnya Kitab al-‘Ibar. Ibn Khaldun menempatkan s</w:t>
      </w:r>
      <w:r w:rsidRPr="00CD47A2">
        <w:rPr>
          <w:rFonts w:ascii="Goudy Old Style" w:hAnsi="Goudy Old Style"/>
          <w:color w:val="000000"/>
        </w:rPr>
        <w:t>ejarah bukan sekadar sebagai catatan peristiwa masa lalu, melainkan sebagai disiplin ilmu yang memiliki objek kajian, metode analisis, dan tujuan epistemologis yang jelas. Dengan pendekatan ini, Ibn Khaldun melakukan kritik mendasar terhadap tradisi histor</w:t>
      </w:r>
      <w:r w:rsidRPr="00CD47A2">
        <w:rPr>
          <w:rFonts w:ascii="Goudy Old Style" w:hAnsi="Goudy Old Style"/>
          <w:color w:val="000000"/>
        </w:rPr>
        <w:t xml:space="preserve">iografi sebelumnya yang cenderung naratif, </w:t>
      </w:r>
      <w:r w:rsidRPr="00CD47A2">
        <w:rPr>
          <w:rFonts w:ascii="Goudy Old Style" w:hAnsi="Goudy Old Style"/>
        </w:rPr>
        <w:t>anekdot</w:t>
      </w:r>
      <w:r w:rsidRPr="00CD47A2">
        <w:rPr>
          <w:rFonts w:ascii="Goudy Old Style" w:hAnsi="Goudy Old Style"/>
          <w:color w:val="000000"/>
        </w:rPr>
        <w:t>, dan kurang kritis terhadap sumber.</w:t>
      </w:r>
      <w:r w:rsidRPr="00CD47A2">
        <w:rPr>
          <w:rFonts w:ascii="Goudy Old Style" w:hAnsi="Goudy Old Style"/>
          <w:color w:val="000000"/>
          <w:vertAlign w:val="superscript"/>
        </w:rPr>
        <w:footnoteReference w:id="6"/>
      </w:r>
    </w:p>
    <w:p w14:paraId="00000026"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 xml:space="preserve">Dalam perspektif historiografi kritis E.H. Carr, fakta sejarah tidak pernah hadir secara netral, melainkan dipilih dan ditafsirkan oleh sejarawan berdasarkan kerangka </w:t>
      </w:r>
      <w:r w:rsidRPr="00CD47A2">
        <w:rPr>
          <w:rFonts w:ascii="Goudy Old Style" w:hAnsi="Goudy Old Style"/>
          <w:color w:val="000000"/>
        </w:rPr>
        <w:t xml:space="preserve">intelektual </w:t>
      </w:r>
      <w:r w:rsidRPr="00CD47A2">
        <w:rPr>
          <w:rFonts w:ascii="Goudy Old Style" w:hAnsi="Goudy Old Style"/>
          <w:color w:val="000000"/>
        </w:rPr>
        <w:lastRenderedPageBreak/>
        <w:t>tertentu. Pandangan ini relevan dengan pemikiran Ibn Khaldun yang menekankan pentingnya kritik terhadap berita sejarah dan kesadaran terhadap bias penulis sejarah. Dengan demikian, baik Carr maupun Ibn Khaldun sama-sama menempatkan sejarah seba</w:t>
      </w:r>
      <w:r w:rsidRPr="00CD47A2">
        <w:rPr>
          <w:rFonts w:ascii="Goudy Old Style" w:hAnsi="Goudy Old Style"/>
          <w:color w:val="000000"/>
        </w:rPr>
        <w:t>gai hasil interaksi antara fakta, interpretasi, dan rasionalitas metodologis.</w:t>
      </w:r>
    </w:p>
    <w:p w14:paraId="00000027"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Ibn Khaldun secara eksplisit mendefinisikan sejarah sebagai ilmu tentang kondisi sosial manusia (</w:t>
      </w:r>
      <w:r w:rsidRPr="00CD47A2">
        <w:rPr>
          <w:rFonts w:ascii="Goudy Old Style" w:hAnsi="Goudy Old Style"/>
          <w:i/>
          <w:iCs/>
          <w:color w:val="000000"/>
        </w:rPr>
        <w:t>ahwal al-basyar</w:t>
      </w:r>
      <w:r w:rsidRPr="00CD47A2">
        <w:rPr>
          <w:rFonts w:ascii="Goudy Old Style" w:hAnsi="Goudy Old Style"/>
          <w:color w:val="000000"/>
        </w:rPr>
        <w:t>), peradaban (</w:t>
      </w:r>
      <w:r w:rsidRPr="00CD47A2">
        <w:rPr>
          <w:rFonts w:ascii="Goudy Old Style" w:hAnsi="Goudy Old Style"/>
          <w:i/>
          <w:iCs/>
          <w:color w:val="000000"/>
        </w:rPr>
        <w:t>‘umran</w:t>
      </w:r>
      <w:r w:rsidRPr="00CD47A2">
        <w:rPr>
          <w:rFonts w:ascii="Goudy Old Style" w:hAnsi="Goudy Old Style"/>
          <w:color w:val="000000"/>
        </w:rPr>
        <w:t>), dan perubahan-perubahan yang terjadi di dal</w:t>
      </w:r>
      <w:r w:rsidRPr="00CD47A2">
        <w:rPr>
          <w:rFonts w:ascii="Goudy Old Style" w:hAnsi="Goudy Old Style"/>
          <w:color w:val="000000"/>
        </w:rPr>
        <w:t>amnya. Sejarah, menurutnya, harus dipahami sebagai proses yang tunduk pada hukum-hukum tertentu, bukan sebagai rangkaian kejadian acak. Oleh karena itu, penulisan sejarah menuntut pemahaman mendalam tentang struktur sosial, ekonomi, politik, dan budaya mas</w:t>
      </w:r>
      <w:r w:rsidRPr="00CD47A2">
        <w:rPr>
          <w:rFonts w:ascii="Goudy Old Style" w:hAnsi="Goudy Old Style"/>
          <w:color w:val="000000"/>
        </w:rPr>
        <w:t>yarakat.</w:t>
      </w:r>
      <w:r w:rsidRPr="00CD47A2">
        <w:rPr>
          <w:rFonts w:ascii="Goudy Old Style" w:hAnsi="Goudy Old Style"/>
          <w:color w:val="000000"/>
          <w:vertAlign w:val="superscript"/>
        </w:rPr>
        <w:footnoteReference w:id="7"/>
      </w:r>
      <w:r w:rsidRPr="00CD47A2">
        <w:rPr>
          <w:rFonts w:ascii="Goudy Old Style" w:hAnsi="Goudy Old Style"/>
          <w:color w:val="000000"/>
        </w:rPr>
        <w:t xml:space="preserve"> Definisi ini menunjukkan bahwa Ibn Khaldun telah melampaui pemahaman sejarah sebagai kronik dinasti dan peperangan, menuju sejarah sebagai ilmu sosial yang analitis.</w:t>
      </w:r>
    </w:p>
    <w:p w14:paraId="00000028"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Salah satu pilar utama metodologi historiografi Ibn Khaldun adalah kritik terha</w:t>
      </w:r>
      <w:r w:rsidRPr="00CD47A2">
        <w:rPr>
          <w:rFonts w:ascii="Goudy Old Style" w:hAnsi="Goudy Old Style"/>
          <w:color w:val="000000"/>
        </w:rPr>
        <w:t>dap sumber dan berita sejarah. Ia menegaskan bahwa banyak kesalahan sejarawan berasal dari sikap menerima berita secara mentah tanpa verifikasi rasional. Ibn Khaldun mengidentifikasi beberapa penyebab utama kekeliruan dalam penulisan sejarah, antara lain f</w:t>
      </w:r>
      <w:r w:rsidRPr="00CD47A2">
        <w:rPr>
          <w:rFonts w:ascii="Goudy Old Style" w:hAnsi="Goudy Old Style"/>
          <w:color w:val="000000"/>
        </w:rPr>
        <w:t>anatisme mazhab atau golongan, kepercayaan berlebihan terhadap periwayat, ketidaktahuan terhadap hukum-hukum sosial, serta kecenderungan untuk mencari sensasi dan keajaiban. Kritik ini menunjukkan kesadaran metodologis yang tajam dan relevan dengan prinsip</w:t>
      </w:r>
      <w:r w:rsidRPr="00CD47A2">
        <w:rPr>
          <w:rFonts w:ascii="Goudy Old Style" w:hAnsi="Goudy Old Style"/>
          <w:color w:val="000000"/>
        </w:rPr>
        <w:t xml:space="preserve"> historiografi ilmiah.</w:t>
      </w:r>
      <w:r w:rsidRPr="00CD47A2">
        <w:rPr>
          <w:rFonts w:ascii="Goudy Old Style" w:hAnsi="Goudy Old Style"/>
          <w:color w:val="000000"/>
          <w:vertAlign w:val="superscript"/>
        </w:rPr>
        <w:footnoteReference w:id="8"/>
      </w:r>
    </w:p>
    <w:p w14:paraId="00000029"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 xml:space="preserve">Dalam kerangka kritik sumber tersebut, Ibn Khaldun menekankan pentingnya penggunaan akal </w:t>
      </w:r>
      <w:r w:rsidRPr="00CD47A2">
        <w:rPr>
          <w:rFonts w:ascii="Goudy Old Style" w:hAnsi="Goudy Old Style"/>
          <w:i/>
          <w:iCs/>
          <w:color w:val="000000"/>
        </w:rPr>
        <w:t>‘aql</w:t>
      </w:r>
      <w:r w:rsidRPr="00CD47A2">
        <w:rPr>
          <w:rFonts w:ascii="Goudy Old Style" w:hAnsi="Goudy Old Style"/>
          <w:color w:val="000000"/>
        </w:rPr>
        <w:t xml:space="preserve"> sebagai instrumen verifikasi. Akal digunakan untuk menilai kemungkinan dan kemustahilan suatu peristiwa sejarah dengan mempertimbangkan k</w:t>
      </w:r>
      <w:r w:rsidRPr="00CD47A2">
        <w:rPr>
          <w:rFonts w:ascii="Goudy Old Style" w:hAnsi="Goudy Old Style"/>
          <w:color w:val="000000"/>
        </w:rPr>
        <w:t>onteks sosial dan hukum alam yang berlaku. Jika suatu berita bertentangan dengan logika sosial atau realitas empiris, maka berita tersebut patut diragukan. Prinsip ini mencerminkan bentuk awal kritik internal terhadap sumber sejarah, yang kelak menjadi bag</w:t>
      </w:r>
      <w:r w:rsidRPr="00CD47A2">
        <w:rPr>
          <w:rFonts w:ascii="Goudy Old Style" w:hAnsi="Goudy Old Style"/>
          <w:color w:val="000000"/>
        </w:rPr>
        <w:t>ian integral dari metodologi historiografi modern.</w:t>
      </w:r>
    </w:p>
    <w:p w14:paraId="0000002A"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Selain kritik sumber, metodologi Ibn Khaldun juga ditandai oleh penekanan kuat pada hubungan sebab-akibat. Ia berpandangan bahwa setiap fenomena sosial dan peristiwa sejarah memiliki sebab-sebab tertentu y</w:t>
      </w:r>
      <w:r w:rsidRPr="00CD47A2">
        <w:rPr>
          <w:rFonts w:ascii="Goudy Old Style" w:hAnsi="Goudy Old Style"/>
          <w:color w:val="000000"/>
        </w:rPr>
        <w:t>ang dapat dianalisis secara rasional.</w:t>
      </w:r>
      <w:r w:rsidRPr="00CD47A2">
        <w:rPr>
          <w:rFonts w:ascii="Goudy Old Style" w:hAnsi="Goudy Old Style"/>
          <w:color w:val="000000"/>
          <w:vertAlign w:val="superscript"/>
        </w:rPr>
        <w:footnoteReference w:id="9"/>
      </w:r>
      <w:r w:rsidRPr="00CD47A2">
        <w:rPr>
          <w:rFonts w:ascii="Goudy Old Style" w:hAnsi="Goudy Old Style"/>
          <w:color w:val="000000"/>
        </w:rPr>
        <w:t xml:space="preserve"> Sejarah bukanlah produk takdir semata, melainkan hasil interaksi kompleks antara manusia, lingkungan, ekonomi, dan kekuasaan. Dengan demikian, tugas sejarawan adalah menelusuri sebab-sebab tersebut untuk memahami din</w:t>
      </w:r>
      <w:r w:rsidRPr="00CD47A2">
        <w:rPr>
          <w:rFonts w:ascii="Goudy Old Style" w:hAnsi="Goudy Old Style"/>
          <w:color w:val="000000"/>
        </w:rPr>
        <w:t>amika perubahan sosial.</w:t>
      </w:r>
    </w:p>
    <w:p w14:paraId="0000002B"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 xml:space="preserve">Prinsip kritik sumber yang dikembangkan Ibn Khaldun memiliki kesesuaian dengan teori kritik sejarah Louis Gottschalk yang menekankan pentingnya verifikasi </w:t>
      </w:r>
      <w:r w:rsidRPr="00CD47A2">
        <w:rPr>
          <w:rFonts w:ascii="Goudy Old Style" w:hAnsi="Goudy Old Style"/>
        </w:rPr>
        <w:t>otentisitas</w:t>
      </w:r>
      <w:r w:rsidRPr="00CD47A2">
        <w:rPr>
          <w:rFonts w:ascii="Goudy Old Style" w:hAnsi="Goudy Old Style"/>
          <w:color w:val="000000"/>
        </w:rPr>
        <w:t xml:space="preserve"> dan kredibilitas sumber sejarah. Kritik terhadap periwayatan yang</w:t>
      </w:r>
      <w:r w:rsidRPr="00CD47A2">
        <w:rPr>
          <w:rFonts w:ascii="Goudy Old Style" w:hAnsi="Goudy Old Style"/>
          <w:color w:val="000000"/>
        </w:rPr>
        <w:t xml:space="preserve"> dilakukan Ibn Khaldun menunjukkan bahwa ia telah menerapkan bentuk awal kritik internal dan kritik eksternal jauh sebelum metode tersebut dilembagakan dalam historiografi modern. Dalam konteks inilah konsep </w:t>
      </w:r>
      <w:r w:rsidRPr="00CD47A2">
        <w:rPr>
          <w:rFonts w:ascii="Goudy Old Style" w:hAnsi="Goudy Old Style"/>
          <w:i/>
          <w:iCs/>
          <w:color w:val="000000"/>
        </w:rPr>
        <w:t>‘</w:t>
      </w:r>
      <w:r w:rsidRPr="00CD47A2">
        <w:rPr>
          <w:rFonts w:ascii="Goudy Old Style" w:hAnsi="Goudy Old Style"/>
          <w:i/>
          <w:iCs/>
        </w:rPr>
        <w:t>ashabiyah</w:t>
      </w:r>
      <w:r w:rsidRPr="00CD47A2">
        <w:rPr>
          <w:rFonts w:ascii="Goudy Old Style" w:hAnsi="Goudy Old Style"/>
          <w:color w:val="000000"/>
        </w:rPr>
        <w:t xml:space="preserve"> memainkan peran sentral. </w:t>
      </w:r>
      <w:r w:rsidRPr="00CD47A2">
        <w:rPr>
          <w:rFonts w:ascii="Goudy Old Style" w:hAnsi="Goudy Old Style"/>
          <w:i/>
          <w:iCs/>
          <w:color w:val="000000"/>
        </w:rPr>
        <w:t>‘Asabiyyah</w:t>
      </w:r>
      <w:r w:rsidRPr="00CD47A2">
        <w:rPr>
          <w:rFonts w:ascii="Goudy Old Style" w:hAnsi="Goudy Old Style"/>
          <w:color w:val="000000"/>
        </w:rPr>
        <w:t xml:space="preserve"> dipahami sebagai solidaritas kelompok </w:t>
      </w:r>
      <w:r w:rsidRPr="00CD47A2">
        <w:rPr>
          <w:rFonts w:ascii="Goudy Old Style" w:hAnsi="Goudy Old Style"/>
          <w:color w:val="000000"/>
        </w:rPr>
        <w:lastRenderedPageBreak/>
        <w:t xml:space="preserve">yang menjadi sumber kekuatan politik dan sosial. Menurut Ibn Khaldun, kekuatan suatu dinasti atau negara bergantung pada tingkat </w:t>
      </w:r>
      <w:r w:rsidRPr="00CD47A2">
        <w:rPr>
          <w:rFonts w:ascii="Goudy Old Style" w:hAnsi="Goudy Old Style"/>
          <w:i/>
          <w:iCs/>
          <w:color w:val="000000"/>
        </w:rPr>
        <w:t>‘asabiyyah</w:t>
      </w:r>
      <w:r w:rsidRPr="00CD47A2">
        <w:rPr>
          <w:rFonts w:ascii="Goudy Old Style" w:hAnsi="Goudy Old Style"/>
          <w:color w:val="000000"/>
        </w:rPr>
        <w:t xml:space="preserve"> yang dimilikinya. Dinasti-dinasti awal biasanya memiliki </w:t>
      </w:r>
      <w:r w:rsidRPr="00CD47A2">
        <w:rPr>
          <w:rFonts w:ascii="Goudy Old Style" w:hAnsi="Goudy Old Style"/>
          <w:i/>
          <w:iCs/>
          <w:color w:val="000000"/>
        </w:rPr>
        <w:t>‘</w:t>
      </w:r>
      <w:r w:rsidRPr="00CD47A2">
        <w:rPr>
          <w:rFonts w:ascii="Goudy Old Style" w:hAnsi="Goudy Old Style"/>
          <w:i/>
          <w:iCs/>
        </w:rPr>
        <w:t>ashabiyah</w:t>
      </w:r>
      <w:r w:rsidRPr="00CD47A2">
        <w:rPr>
          <w:rFonts w:ascii="Goudy Old Style" w:hAnsi="Goudy Old Style"/>
          <w:color w:val="000000"/>
        </w:rPr>
        <w:t xml:space="preserve"> yang kuat</w:t>
      </w:r>
      <w:r w:rsidRPr="00CD47A2">
        <w:rPr>
          <w:rFonts w:ascii="Goudy Old Style" w:hAnsi="Goudy Old Style"/>
          <w:color w:val="000000"/>
        </w:rPr>
        <w:t xml:space="preserve"> karena kesederhanaan hidup dan kedekatan sosial. Namun, seiring waktu, kemewahan dan kehidupan kota melemahkan solidaritas tersebut, yang pada akhirnya membawa pada kemunduran dan keruntuhan. Pola ini menunjukkan bahwa sejarah bergerak mengikuti siklus te</w:t>
      </w:r>
      <w:r w:rsidRPr="00CD47A2">
        <w:rPr>
          <w:rFonts w:ascii="Goudy Old Style" w:hAnsi="Goudy Old Style"/>
          <w:color w:val="000000"/>
        </w:rPr>
        <w:t>rtentu yang dapat dianalisis secara ilmiah.</w:t>
      </w:r>
      <w:r w:rsidRPr="00CD47A2">
        <w:rPr>
          <w:rFonts w:ascii="Goudy Old Style" w:hAnsi="Goudy Old Style"/>
          <w:color w:val="000000"/>
          <w:vertAlign w:val="superscript"/>
        </w:rPr>
        <w:footnoteReference w:id="10"/>
      </w:r>
    </w:p>
    <w:p w14:paraId="0000002C"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 xml:space="preserve">Konsep </w:t>
      </w:r>
      <w:r w:rsidRPr="00CD47A2">
        <w:rPr>
          <w:rFonts w:ascii="Goudy Old Style" w:hAnsi="Goudy Old Style"/>
          <w:i/>
          <w:iCs/>
          <w:color w:val="000000"/>
        </w:rPr>
        <w:t>‘</w:t>
      </w:r>
      <w:r w:rsidRPr="00CD47A2">
        <w:rPr>
          <w:rFonts w:ascii="Goudy Old Style" w:hAnsi="Goudy Old Style"/>
          <w:i/>
          <w:iCs/>
        </w:rPr>
        <w:t>ashabiyah</w:t>
      </w:r>
      <w:r w:rsidRPr="00CD47A2">
        <w:rPr>
          <w:rFonts w:ascii="Goudy Old Style" w:hAnsi="Goudy Old Style"/>
          <w:color w:val="000000"/>
        </w:rPr>
        <w:t xml:space="preserve"> tidak berdiri sendiri, melainkan terkait erat dengan konsep </w:t>
      </w:r>
      <w:r w:rsidRPr="00CD47A2">
        <w:rPr>
          <w:rFonts w:ascii="Goudy Old Style" w:hAnsi="Goudy Old Style"/>
          <w:i/>
          <w:iCs/>
          <w:color w:val="000000"/>
        </w:rPr>
        <w:t>‘umran</w:t>
      </w:r>
      <w:r w:rsidRPr="00CD47A2">
        <w:rPr>
          <w:rFonts w:ascii="Goudy Old Style" w:hAnsi="Goudy Old Style"/>
          <w:color w:val="000000"/>
        </w:rPr>
        <w:t xml:space="preserve">. </w:t>
      </w:r>
      <w:r w:rsidRPr="00CD47A2">
        <w:rPr>
          <w:rFonts w:ascii="Goudy Old Style" w:hAnsi="Goudy Old Style"/>
          <w:i/>
          <w:iCs/>
          <w:color w:val="000000"/>
        </w:rPr>
        <w:t>‘Umran</w:t>
      </w:r>
      <w:r w:rsidRPr="00CD47A2">
        <w:rPr>
          <w:rFonts w:ascii="Goudy Old Style" w:hAnsi="Goudy Old Style"/>
          <w:color w:val="000000"/>
        </w:rPr>
        <w:t xml:space="preserve"> merujuk pada keseluruhan struktur kehidupan masyarakat, baik dalam bentuk masyarakat </w:t>
      </w:r>
      <w:r w:rsidRPr="00CD47A2">
        <w:rPr>
          <w:rFonts w:ascii="Goudy Old Style" w:hAnsi="Goudy Old Style"/>
        </w:rPr>
        <w:t>Baduy</w:t>
      </w:r>
      <w:r w:rsidRPr="00CD47A2">
        <w:rPr>
          <w:rFonts w:ascii="Goudy Old Style" w:hAnsi="Goudy Old Style"/>
          <w:color w:val="000000"/>
        </w:rPr>
        <w:t xml:space="preserve"> (Badawi) maupun masyarakat</w:t>
      </w:r>
      <w:r w:rsidRPr="00CD47A2">
        <w:rPr>
          <w:rFonts w:ascii="Goudy Old Style" w:hAnsi="Goudy Old Style"/>
          <w:color w:val="000000"/>
        </w:rPr>
        <w:t xml:space="preserve"> kota (Hadari). Ibn Khaldun membedakan kedua tipe masyarakat ini untuk menjelaskan dinamika sosial dan politik yang berbeda. Masyarakat </w:t>
      </w:r>
      <w:r w:rsidRPr="00CD47A2">
        <w:rPr>
          <w:rFonts w:ascii="Goudy Old Style" w:hAnsi="Goudy Old Style"/>
        </w:rPr>
        <w:t>baduy</w:t>
      </w:r>
      <w:r w:rsidRPr="00CD47A2">
        <w:rPr>
          <w:rFonts w:ascii="Goudy Old Style" w:hAnsi="Goudy Old Style"/>
          <w:color w:val="000000"/>
        </w:rPr>
        <w:t xml:space="preserve"> dicirikan oleh kesederhanaan, solidaritas kuat, dan kemampuan bertahan hidup, sementara masyarakat kota ditandai o</w:t>
      </w:r>
      <w:r w:rsidRPr="00CD47A2">
        <w:rPr>
          <w:rFonts w:ascii="Goudy Old Style" w:hAnsi="Goudy Old Style"/>
          <w:color w:val="000000"/>
        </w:rPr>
        <w:t>leh kemajuan peradaban, spesialisasi kerja, dan kompleksitas sosial. Perbedaan ini memiliki implikasi penting bagi analisis sejarah dan perubahan sosial.</w:t>
      </w:r>
    </w:p>
    <w:p w14:paraId="0000002D"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 xml:space="preserve">Melalui konsep </w:t>
      </w:r>
      <w:r w:rsidRPr="00CD47A2">
        <w:rPr>
          <w:rFonts w:ascii="Goudy Old Style" w:hAnsi="Goudy Old Style"/>
          <w:i/>
          <w:iCs/>
          <w:color w:val="000000"/>
        </w:rPr>
        <w:t>‘ilm al-’umran</w:t>
      </w:r>
      <w:r w:rsidRPr="00CD47A2">
        <w:rPr>
          <w:rFonts w:ascii="Goudy Old Style" w:hAnsi="Goudy Old Style"/>
          <w:color w:val="000000"/>
        </w:rPr>
        <w:t>, Ibn Khaldun memperkenalkan pendekatan multidisipliner dalam historiogra</w:t>
      </w:r>
      <w:r w:rsidRPr="00CD47A2">
        <w:rPr>
          <w:rFonts w:ascii="Goudy Old Style" w:hAnsi="Goudy Old Style"/>
          <w:color w:val="000000"/>
        </w:rPr>
        <w:t>fi. Ia mengintegrasikan analisis ekonomi, seperti peran produksi dan distribusi, dengan analisis politik dan sosial. Ibn Khaldun bahkan membahas hubungan antara pajak, kesejahteraan masyarakat, dan stabilitas negara, yang menunjukkan kepekaan terhadap fakt</w:t>
      </w:r>
      <w:r w:rsidRPr="00CD47A2">
        <w:rPr>
          <w:rFonts w:ascii="Goudy Old Style" w:hAnsi="Goudy Old Style"/>
          <w:color w:val="000000"/>
        </w:rPr>
        <w:t>or ekonomi dalam sejarah. Pendekatan ini menjadikan historiografi Ibn Khaldun tidak hanya relevan bagi ilmu sejarah, tetapi juga bagi sosiologi, ekonomi politik, dan ilmu sosial lainnya.</w:t>
      </w:r>
    </w:p>
    <w:p w14:paraId="0000002E"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Metodologi historiografi Ibn Khaldun juga mencakup kesadaran akan sub</w:t>
      </w:r>
      <w:r w:rsidRPr="00CD47A2">
        <w:rPr>
          <w:rFonts w:ascii="Goudy Old Style" w:hAnsi="Goudy Old Style"/>
          <w:color w:val="000000"/>
        </w:rPr>
        <w:t xml:space="preserve">jektivitas penulis sejarah. Ia menyadari bahwa sejarawan tidak pernah sepenuhnya bebas dari pengaruh latar belakang sosial, politik, dan intelektualnya. Oleh karena itu, Ibn Khaldun menekankan pentingnya sikap kritis dan reflektif dalam penulisan sejarah. </w:t>
      </w:r>
      <w:r w:rsidRPr="00CD47A2">
        <w:rPr>
          <w:rFonts w:ascii="Goudy Old Style" w:hAnsi="Goudy Old Style"/>
          <w:color w:val="000000"/>
        </w:rPr>
        <w:t xml:space="preserve">Sejarawan harus menyadari keterbatasannya sendiri dan berusaha mendekati kebenaran melalui analisis rasional dan </w:t>
      </w:r>
      <w:r w:rsidRPr="00CD47A2">
        <w:rPr>
          <w:rFonts w:ascii="Goudy Old Style" w:hAnsi="Goudy Old Style"/>
        </w:rPr>
        <w:t>perbandingan</w:t>
      </w:r>
      <w:r w:rsidRPr="00CD47A2">
        <w:rPr>
          <w:rFonts w:ascii="Goudy Old Style" w:hAnsi="Goudy Old Style"/>
          <w:color w:val="000000"/>
        </w:rPr>
        <w:t xml:space="preserve"> sumber.</w:t>
      </w:r>
      <w:r w:rsidRPr="00CD47A2">
        <w:rPr>
          <w:rFonts w:ascii="Goudy Old Style" w:hAnsi="Goudy Old Style"/>
          <w:color w:val="000000"/>
          <w:vertAlign w:val="superscript"/>
        </w:rPr>
        <w:footnoteReference w:id="11"/>
      </w:r>
    </w:p>
    <w:p w14:paraId="0000002F"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 xml:space="preserve">Aspek penting lain dari historiografi Ibn Khaldun adalah pandangannya tentang tujuan sejarah. Sejarah tidak hanya </w:t>
      </w:r>
      <w:r w:rsidRPr="00CD47A2">
        <w:rPr>
          <w:rFonts w:ascii="Goudy Old Style" w:hAnsi="Goudy Old Style"/>
          <w:color w:val="000000"/>
        </w:rPr>
        <w:t>bertujuan untuk mengetahui masa lalu, tetapi juga untuk mengambil pelajaran (</w:t>
      </w:r>
      <w:r w:rsidRPr="00CD47A2">
        <w:rPr>
          <w:rFonts w:ascii="Goudy Old Style" w:hAnsi="Goudy Old Style"/>
          <w:i/>
          <w:iCs/>
          <w:color w:val="000000"/>
        </w:rPr>
        <w:t>‘ibrah</w:t>
      </w:r>
      <w:r w:rsidRPr="00CD47A2">
        <w:rPr>
          <w:rFonts w:ascii="Goudy Old Style" w:hAnsi="Goudy Old Style"/>
          <w:color w:val="000000"/>
        </w:rPr>
        <w:t>) bagi kehidupan masa kini dan masa depan. Melalui pemahaman terhadap pola-pola sejarah, manusia dapat memahami sebab-sebab kemajuan dan kemunduran peradaban, serta menghind</w:t>
      </w:r>
      <w:r w:rsidRPr="00CD47A2">
        <w:rPr>
          <w:rFonts w:ascii="Goudy Old Style" w:hAnsi="Goudy Old Style"/>
          <w:color w:val="000000"/>
        </w:rPr>
        <w:t>ari kesalahan yang sama. Tujuan normatif ini memberikan dimensi etis pada historiografi Ibn Khaldun, tanpa mengurangi karakter ilmiahnya.</w:t>
      </w:r>
      <w:r w:rsidRPr="00CD47A2">
        <w:rPr>
          <w:rFonts w:ascii="Goudy Old Style" w:hAnsi="Goudy Old Style"/>
          <w:color w:val="000000"/>
          <w:vertAlign w:val="superscript"/>
        </w:rPr>
        <w:footnoteReference w:id="12"/>
      </w:r>
    </w:p>
    <w:p w14:paraId="00000030" w14:textId="77777777" w:rsidR="000172AE" w:rsidRPr="00CD47A2" w:rsidRDefault="00583925">
      <w:pPr>
        <w:pBdr>
          <w:top w:val="nil"/>
          <w:left w:val="nil"/>
          <w:bottom w:val="nil"/>
          <w:right w:val="nil"/>
          <w:between w:val="nil"/>
        </w:pBdr>
        <w:spacing w:line="240" w:lineRule="auto"/>
        <w:ind w:firstLine="567"/>
        <w:rPr>
          <w:rFonts w:ascii="Goudy Old Style" w:hAnsi="Goudy Old Style"/>
          <w:color w:val="000000"/>
        </w:rPr>
      </w:pPr>
      <w:r w:rsidRPr="00CD47A2">
        <w:rPr>
          <w:rFonts w:ascii="Goudy Old Style" w:hAnsi="Goudy Old Style"/>
          <w:color w:val="000000"/>
        </w:rPr>
        <w:t>Dengan demikian, konsep dan metodologi historiografi Ibn Khaldun dalam al-Muqaddimah menunjukkan kerangka ilmiah yan</w:t>
      </w:r>
      <w:r w:rsidRPr="00CD47A2">
        <w:rPr>
          <w:rFonts w:ascii="Goudy Old Style" w:hAnsi="Goudy Old Style"/>
          <w:color w:val="000000"/>
        </w:rPr>
        <w:t xml:space="preserve">g komprehensif dan visioner. Kritik sumber, analisis kausalitas, konsep </w:t>
      </w:r>
      <w:r w:rsidRPr="00CD47A2">
        <w:rPr>
          <w:rFonts w:ascii="Goudy Old Style" w:hAnsi="Goudy Old Style"/>
          <w:i/>
          <w:iCs/>
          <w:color w:val="000000"/>
        </w:rPr>
        <w:t>‘</w:t>
      </w:r>
      <w:r w:rsidRPr="00CD47A2">
        <w:rPr>
          <w:rFonts w:ascii="Goudy Old Style" w:hAnsi="Goudy Old Style"/>
          <w:i/>
          <w:iCs/>
        </w:rPr>
        <w:t>ashabiyah</w:t>
      </w:r>
      <w:r w:rsidRPr="00CD47A2">
        <w:rPr>
          <w:rFonts w:ascii="Goudy Old Style" w:hAnsi="Goudy Old Style"/>
          <w:color w:val="000000"/>
        </w:rPr>
        <w:t xml:space="preserve"> dan </w:t>
      </w:r>
      <w:r w:rsidRPr="00CD47A2">
        <w:rPr>
          <w:rFonts w:ascii="Goudy Old Style" w:hAnsi="Goudy Old Style"/>
          <w:i/>
          <w:iCs/>
          <w:color w:val="000000"/>
        </w:rPr>
        <w:t>‘umran</w:t>
      </w:r>
      <w:r w:rsidRPr="00CD47A2">
        <w:rPr>
          <w:rFonts w:ascii="Goudy Old Style" w:hAnsi="Goudy Old Style"/>
          <w:color w:val="000000"/>
        </w:rPr>
        <w:t>, serta pendekatan multidisipliner menjadikan Ibn Khaldun sebagai pelopor historiografi kritis. Pemikirannya tidak hanya merefleksikan tradisi intelektual Islam ab</w:t>
      </w:r>
      <w:r w:rsidRPr="00CD47A2">
        <w:rPr>
          <w:rFonts w:ascii="Goudy Old Style" w:hAnsi="Goudy Old Style"/>
          <w:color w:val="000000"/>
        </w:rPr>
        <w:t xml:space="preserve">ad pertengahan, tetapi juga mengandung prinsip-prinsip metodologis yang sejalan dengan historiografi modern. Oleh karena itu, al-Muqaddimah dapat dipandang sebagai karya fundamental yang menjembatani tradisi sejarah klasik dengan pendekatan ilmiah modern, </w:t>
      </w:r>
      <w:r w:rsidRPr="00CD47A2">
        <w:rPr>
          <w:rFonts w:ascii="Goudy Old Style" w:hAnsi="Goudy Old Style"/>
          <w:color w:val="000000"/>
        </w:rPr>
        <w:lastRenderedPageBreak/>
        <w:t>sekaligus menegaskan posisi Ibn Khaldun sebagai salah satu pemikir sejarah terbesar sepanjang masa.</w:t>
      </w:r>
    </w:p>
    <w:p w14:paraId="00000031" w14:textId="77777777" w:rsidR="000172AE" w:rsidRPr="00CD47A2" w:rsidRDefault="000172AE">
      <w:pPr>
        <w:pBdr>
          <w:top w:val="nil"/>
          <w:left w:val="nil"/>
          <w:bottom w:val="nil"/>
          <w:right w:val="nil"/>
          <w:between w:val="nil"/>
        </w:pBdr>
        <w:spacing w:line="240" w:lineRule="auto"/>
        <w:rPr>
          <w:rFonts w:ascii="Goudy Old Style" w:hAnsi="Goudy Old Style"/>
          <w:color w:val="000000"/>
        </w:rPr>
      </w:pPr>
    </w:p>
    <w:p w14:paraId="00000032" w14:textId="77777777" w:rsidR="000172AE" w:rsidRPr="00CD47A2" w:rsidRDefault="00583925">
      <w:pPr>
        <w:pBdr>
          <w:top w:val="nil"/>
          <w:left w:val="nil"/>
          <w:bottom w:val="nil"/>
          <w:right w:val="nil"/>
          <w:between w:val="nil"/>
        </w:pBdr>
        <w:spacing w:line="240" w:lineRule="auto"/>
        <w:rPr>
          <w:rFonts w:ascii="Goudy Old Style" w:hAnsi="Goudy Old Style"/>
          <w:color w:val="000000"/>
        </w:rPr>
      </w:pPr>
      <w:r w:rsidRPr="00CD47A2">
        <w:rPr>
          <w:rFonts w:ascii="Goudy Old Style" w:hAnsi="Goudy Old Style"/>
          <w:b/>
          <w:bCs/>
          <w:color w:val="000000"/>
        </w:rPr>
        <w:t>Karakteristik Utama Historiografi Modern</w:t>
      </w:r>
    </w:p>
    <w:p w14:paraId="00000033"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Bagian ini membahas karakteristik utama historiografi modern sebagai kerangka pembanding untuk memahami posisi dan</w:t>
      </w:r>
      <w:r w:rsidRPr="00CD47A2">
        <w:rPr>
          <w:rFonts w:ascii="Goudy Old Style" w:hAnsi="Goudy Old Style"/>
          <w:color w:val="000000"/>
        </w:rPr>
        <w:t xml:space="preserve"> relevansi pemikiran Ibn Khaldun. Historiografi modern lahir dari perubahan paradigma intelektual yang menempatkan sejarah sebagai disiplin ilmiah otonom dengan metode, kaidah, dan tujuan yang jelas. Perkembangan ini tidak terjadi secara tiba-tiba, melaink</w:t>
      </w:r>
      <w:r w:rsidRPr="00CD47A2">
        <w:rPr>
          <w:rFonts w:ascii="Goudy Old Style" w:hAnsi="Goudy Old Style"/>
          <w:color w:val="000000"/>
        </w:rPr>
        <w:t>an melalui proses panjang yang dipengaruhi oleh rasionalisme, pencerahan, dan institusionalisasi ilmu pengetahuan di Barat sejak abad ke-18 dan ke-19.</w:t>
      </w:r>
      <w:r w:rsidRPr="00CD47A2">
        <w:rPr>
          <w:rFonts w:ascii="Goudy Old Style" w:hAnsi="Goudy Old Style"/>
          <w:color w:val="000000"/>
          <w:vertAlign w:val="superscript"/>
        </w:rPr>
        <w:footnoteReference w:id="13"/>
      </w:r>
    </w:p>
    <w:p w14:paraId="00000034"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Pendekatan Ibn Khaldun terhadap sejarah menunjukkan kedekatan dengan tradisi sejarah sosial yang dikemb</w:t>
      </w:r>
      <w:r w:rsidRPr="00CD47A2">
        <w:rPr>
          <w:rFonts w:ascii="Goudy Old Style" w:hAnsi="Goudy Old Style"/>
          <w:color w:val="000000"/>
        </w:rPr>
        <w:t>angkan Marc Bloch dan mazhab Annales. Fokus Ibn Khaldun terhadap struktur sosial, solidaritas kelompok, ekonomi, dan kehidupan masyarakat memperlihatkan bahwa sejarah dipahami sebagai proses sosial yang kompleks, bukan sekadar kronologi politik dan pergant</w:t>
      </w:r>
      <w:r w:rsidRPr="00CD47A2">
        <w:rPr>
          <w:rFonts w:ascii="Goudy Old Style" w:hAnsi="Goudy Old Style"/>
          <w:color w:val="000000"/>
        </w:rPr>
        <w:t>ian penguasa.</w:t>
      </w:r>
    </w:p>
    <w:p w14:paraId="00000035"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 xml:space="preserve">Salah satu karakteristik paling mendasar dari historiografi modern adalah penekanan pada objektivitas. Sejarawan modern berupaya merekonstruksi masa lalu secara kritis dengan meminimalkan bias subjektif, ideologis, dan normatif. Objektivitas </w:t>
      </w:r>
      <w:r w:rsidRPr="00CD47A2">
        <w:rPr>
          <w:rFonts w:ascii="Goudy Old Style" w:hAnsi="Goudy Old Style"/>
          <w:color w:val="000000"/>
        </w:rPr>
        <w:t>dalam historiografi modern tidak dipahami sebagai netralitas absolut, melainkan sebagai sikap metodologis yang menuntut keterbukaan terhadap bukti, kesadaran akan posisi penulis, serta komitmen terhadap kejujuran ilmiah. Prinsip ini menandai pergeseran dar</w:t>
      </w:r>
      <w:r w:rsidRPr="00CD47A2">
        <w:rPr>
          <w:rFonts w:ascii="Goudy Old Style" w:hAnsi="Goudy Old Style"/>
          <w:color w:val="000000"/>
        </w:rPr>
        <w:t>i historiografi tradisional yang sering kali digunakan sebagai alat legitimasi politik atau moral.</w:t>
      </w:r>
    </w:p>
    <w:p w14:paraId="00000036"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Dalam kerangka objektivitas tersebut, kritik sumber menjadi fondasi metodologis historiografi modern. Louis Gottschalk menegaskan bahwa tidak ada sejarah tan</w:t>
      </w:r>
      <w:r w:rsidRPr="00CD47A2">
        <w:rPr>
          <w:rFonts w:ascii="Goudy Old Style" w:hAnsi="Goudy Old Style"/>
          <w:color w:val="000000"/>
        </w:rPr>
        <w:t>pa sumber, dan tidak ada sumber yang dapat diterima tanpa kritik. Kritik eksternal digunakan untuk menilai keaslian dokumen, waktu penulisan, penulis, serta kondisi material sumber. Sementara itu, kritik internal diarahkan pada isi sumber, konsistensi nara</w:t>
      </w:r>
      <w:r w:rsidRPr="00CD47A2">
        <w:rPr>
          <w:rFonts w:ascii="Goudy Old Style" w:hAnsi="Goudy Old Style"/>
          <w:color w:val="000000"/>
        </w:rPr>
        <w:t>si, kredibilitas informasi, dan kemungkinan bias penulis. Melalui kritik sumber yang ketat, historiografi modern berupaya memastikan bahwa rekonstruksi sejarah didasarkan pada bukti yang dapat diverifikasi.</w:t>
      </w:r>
    </w:p>
    <w:p w14:paraId="00000037"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Karakteristik penting lain dari historiografi mod</w:t>
      </w:r>
      <w:r w:rsidRPr="00CD47A2">
        <w:rPr>
          <w:rFonts w:ascii="Goudy Old Style" w:hAnsi="Goudy Old Style"/>
          <w:color w:val="000000"/>
        </w:rPr>
        <w:t>ern adalah kesadaran bahwa sejarah merupakan hasil interpretasi. E.H. Carr menyatakan bahwa fakta sejarah tidak pernah berbicara dengan sendirinya, melainkan selalu dipilih dan ditafsirkan oleh sejarawan. Oleh karena itu, historiografi modern menempatkan s</w:t>
      </w:r>
      <w:r w:rsidRPr="00CD47A2">
        <w:rPr>
          <w:rFonts w:ascii="Goudy Old Style" w:hAnsi="Goudy Old Style"/>
          <w:color w:val="000000"/>
        </w:rPr>
        <w:t>ejarawan sebagai subjek aktif yang berinteraksi dengan fakta sejarah. Kesadaran ini mendorong refleksi kritis terhadap proses penulisan sejarah itu sendiri, termasuk asumsi teoritik dan kerangka konseptual yang digunakan.</w:t>
      </w:r>
      <w:r w:rsidRPr="00CD47A2">
        <w:rPr>
          <w:rFonts w:ascii="Goudy Old Style" w:hAnsi="Goudy Old Style"/>
          <w:color w:val="000000"/>
          <w:vertAlign w:val="superscript"/>
        </w:rPr>
        <w:footnoteReference w:id="14"/>
      </w:r>
    </w:p>
    <w:p w14:paraId="00000038"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 xml:space="preserve">Historiografi modern juga </w:t>
      </w:r>
      <w:r w:rsidRPr="00CD47A2">
        <w:rPr>
          <w:rFonts w:ascii="Goudy Old Style" w:hAnsi="Goudy Old Style"/>
          <w:color w:val="000000"/>
        </w:rPr>
        <w:t xml:space="preserve">ditandai oleh penekanan pada analisis sebab-akibat dan proses perubahan. Sejarah dipahami sebagai proses dinamis yang melibatkan kesinambungan dan perubahan dalam kehidupan manusia. John Tosh menekankan bahwa tujuan utama sejarah adalah memahami bagaimana </w:t>
      </w:r>
      <w:r w:rsidRPr="00CD47A2">
        <w:rPr>
          <w:rFonts w:ascii="Goudy Old Style" w:hAnsi="Goudy Old Style"/>
          <w:color w:val="000000"/>
        </w:rPr>
        <w:t>dan mengapa masyarakat berubah dari waktu ke waktu. Pendekatan ini menggeser fokus historiografi dari peristiwa-peristiwa besar semata menuju analisis struktur sosial, ekonomi, dan budaya yang melandasi perubahan tersebut.</w:t>
      </w:r>
    </w:p>
    <w:p w14:paraId="00000039"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lastRenderedPageBreak/>
        <w:t>Perhatian terhadap struktur sosia</w:t>
      </w:r>
      <w:r w:rsidRPr="00CD47A2">
        <w:rPr>
          <w:rFonts w:ascii="Goudy Old Style" w:hAnsi="Goudy Old Style"/>
          <w:color w:val="000000"/>
        </w:rPr>
        <w:t>l merupakan karakteristik penting lainnya. Sejak berkembangnya sejarah sosial dan sejarah ekonomi pada abad ke-20, historiografi modern semakin menaruh perhatian pada kehidupan masyarakat luas, bukan hanya elit politik atau tokoh besar. Pendekatan ini memb</w:t>
      </w:r>
      <w:r w:rsidRPr="00CD47A2">
        <w:rPr>
          <w:rFonts w:ascii="Goudy Old Style" w:hAnsi="Goudy Old Style"/>
          <w:color w:val="000000"/>
        </w:rPr>
        <w:t>uka ruang bagi kajian tentang kelas sosial, relasi kekuasaan, gender, dan kelompok marjinal. Dengan demikian, historiografi modern menjadi lebih inklusif dan representatif dalam menggambarkan pengalaman manusia.</w:t>
      </w:r>
    </w:p>
    <w:p w14:paraId="0000003A"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 xml:space="preserve">Interdisiplinaritas juga menjadi ciri </w:t>
      </w:r>
      <w:r w:rsidRPr="00CD47A2">
        <w:rPr>
          <w:rFonts w:ascii="Goudy Old Style" w:hAnsi="Goudy Old Style"/>
          <w:color w:val="000000"/>
        </w:rPr>
        <w:t>khas historiografi modern. Sejarawan modern memanfaatkan teori dan metode dari disiplin lain seperti sosiologi, antropologi, ekonomi, dan ilmu politik. Pendekatan ini memperkaya analisis sejarah dan memungkinkan pemahaman yang lebih komprehensif terhadap f</w:t>
      </w:r>
      <w:r w:rsidRPr="00CD47A2">
        <w:rPr>
          <w:rFonts w:ascii="Goudy Old Style" w:hAnsi="Goudy Old Style"/>
          <w:color w:val="000000"/>
        </w:rPr>
        <w:t>enomena sosial. Sejarah tidak lagi dipahami sebagai disiplin yang berdiri sendiri, melainkan sebagai bagian dari ilmu-ilmu sosial yang saling berinteraksi.</w:t>
      </w:r>
    </w:p>
    <w:p w14:paraId="0000003B"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Selain itu, historiografi modern ditandai oleh perkembangan metodologi yang semakin beragam. Munculn</w:t>
      </w:r>
      <w:r w:rsidRPr="00CD47A2">
        <w:rPr>
          <w:rFonts w:ascii="Goudy Old Style" w:hAnsi="Goudy Old Style"/>
          <w:color w:val="000000"/>
        </w:rPr>
        <w:t xml:space="preserve">ya sejarah kuantitatif, sejarah budaya, </w:t>
      </w:r>
      <w:r w:rsidRPr="00CD47A2">
        <w:rPr>
          <w:rFonts w:ascii="Goudy Old Style" w:hAnsi="Goudy Old Style"/>
        </w:rPr>
        <w:t>mikro histori</w:t>
      </w:r>
      <w:r w:rsidRPr="00CD47A2">
        <w:rPr>
          <w:rFonts w:ascii="Goudy Old Style" w:hAnsi="Goudy Old Style"/>
          <w:color w:val="000000"/>
        </w:rPr>
        <w:t xml:space="preserve">, dan sejarah lisan menunjukkan dinamika metodologis dalam studi sejarah. Keragaman pendekatan ini mencerminkan kesadaran bahwa realitas sejarah bersifat kompleks dan tidak dapat dijelaskan melalui satu </w:t>
      </w:r>
      <w:r w:rsidRPr="00CD47A2">
        <w:rPr>
          <w:rFonts w:ascii="Goudy Old Style" w:hAnsi="Goudy Old Style"/>
          <w:color w:val="000000"/>
        </w:rPr>
        <w:t>metode tunggal. Historiografi modern dengan demikian bersifat terbuka terhadap inovasi metodologis.</w:t>
      </w:r>
      <w:r w:rsidRPr="00CD47A2">
        <w:rPr>
          <w:rFonts w:ascii="Goudy Old Style" w:hAnsi="Goudy Old Style"/>
          <w:color w:val="000000"/>
          <w:vertAlign w:val="superscript"/>
        </w:rPr>
        <w:footnoteReference w:id="15"/>
      </w:r>
    </w:p>
    <w:p w14:paraId="0000003C"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Karakteristik lain yang tidak kalah penting adalah kesadaran etis dalam penulisan sejarah. Sejarawan modern dihadapkan pada tanggung jawab moral dalam mer</w:t>
      </w:r>
      <w:r w:rsidRPr="00CD47A2">
        <w:rPr>
          <w:rFonts w:ascii="Goudy Old Style" w:hAnsi="Goudy Old Style"/>
          <w:color w:val="000000"/>
        </w:rPr>
        <w:t>epresentasikan masa lalu, terutama ketika berkaitan dengan trauma, kekerasan, dan ketidakadilan. Kesadaran ini mendorong kehati-hatian dalam penggunaan bahasa, interpretasi, dan penyajian narasi sejarah. Dengan demikian, historiografi modern tidak hanya be</w:t>
      </w:r>
      <w:r w:rsidRPr="00CD47A2">
        <w:rPr>
          <w:rFonts w:ascii="Goudy Old Style" w:hAnsi="Goudy Old Style"/>
          <w:color w:val="000000"/>
        </w:rPr>
        <w:t>rorientasi pada kebenaran faktual, tetapi juga pada sensitivitas etis.</w:t>
      </w:r>
    </w:p>
    <w:p w14:paraId="0000003D"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Secara keseluruhan, karakteristik utama historiografi modern mencakup objektivitas metodologis, kritik sumber yang ketat, kesadaran interpretatif, analisis sebab-akibat, perhatian terha</w:t>
      </w:r>
      <w:r w:rsidRPr="00CD47A2">
        <w:rPr>
          <w:rFonts w:ascii="Goudy Old Style" w:hAnsi="Goudy Old Style"/>
          <w:color w:val="000000"/>
        </w:rPr>
        <w:t>dap struktur sosial, pendekatan interdisipliner, keragaman metodologi, dan tanggung jawab etis. Prinsip-prinsip ini membentuk kerangka historiografi modern sebagai disiplin ilmiah yang reflektif dan dinamis. Pemahaman terhadap karakteristik ini menjadi lan</w:t>
      </w:r>
      <w:r w:rsidRPr="00CD47A2">
        <w:rPr>
          <w:rFonts w:ascii="Goudy Old Style" w:hAnsi="Goudy Old Style"/>
          <w:color w:val="000000"/>
        </w:rPr>
        <w:t>dasan penting untuk menilai relevansi pemikiran Ibn Khaldun dalam konteks historiografi modern dan memperkuat argumen bahwa terdapat kesinambungan metodologis antara tradisi intelektual Islam dan sejarah modern.</w:t>
      </w:r>
      <w:r w:rsidRPr="00CD47A2">
        <w:rPr>
          <w:rFonts w:ascii="Goudy Old Style" w:hAnsi="Goudy Old Style"/>
          <w:color w:val="000000"/>
          <w:vertAlign w:val="superscript"/>
        </w:rPr>
        <w:footnoteReference w:id="16"/>
      </w:r>
    </w:p>
    <w:p w14:paraId="0000003E" w14:textId="77777777" w:rsidR="000172AE" w:rsidRPr="00CD47A2" w:rsidRDefault="000172AE">
      <w:pPr>
        <w:pBdr>
          <w:top w:val="nil"/>
          <w:left w:val="nil"/>
          <w:bottom w:val="nil"/>
          <w:right w:val="nil"/>
          <w:between w:val="nil"/>
        </w:pBdr>
        <w:spacing w:line="240" w:lineRule="auto"/>
        <w:rPr>
          <w:rFonts w:ascii="Goudy Old Style" w:hAnsi="Goudy Old Style"/>
          <w:b/>
          <w:bCs/>
          <w:color w:val="000000"/>
        </w:rPr>
      </w:pPr>
    </w:p>
    <w:p w14:paraId="0000003F" w14:textId="77777777" w:rsidR="000172AE" w:rsidRPr="00CD47A2" w:rsidRDefault="00583925">
      <w:pPr>
        <w:pBdr>
          <w:top w:val="nil"/>
          <w:left w:val="nil"/>
          <w:bottom w:val="nil"/>
          <w:right w:val="nil"/>
          <w:between w:val="nil"/>
        </w:pBdr>
        <w:spacing w:line="240" w:lineRule="auto"/>
        <w:rPr>
          <w:rFonts w:ascii="Goudy Old Style" w:hAnsi="Goudy Old Style"/>
          <w:b/>
          <w:bCs/>
          <w:color w:val="000000"/>
        </w:rPr>
      </w:pPr>
      <w:r w:rsidRPr="00CD47A2">
        <w:rPr>
          <w:rFonts w:ascii="Goudy Old Style" w:hAnsi="Goudy Old Style"/>
          <w:b/>
          <w:bCs/>
          <w:color w:val="000000"/>
        </w:rPr>
        <w:t>Relevansi Pemikiran Ibn Khaldun dengan Hi</w:t>
      </w:r>
      <w:r w:rsidRPr="00CD47A2">
        <w:rPr>
          <w:rFonts w:ascii="Goudy Old Style" w:hAnsi="Goudy Old Style"/>
          <w:b/>
          <w:bCs/>
          <w:color w:val="000000"/>
        </w:rPr>
        <w:t>storiografi Modern</w:t>
      </w:r>
    </w:p>
    <w:p w14:paraId="00000040"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rPr>
        <w:t>Sub bab</w:t>
      </w:r>
      <w:r w:rsidRPr="00CD47A2">
        <w:rPr>
          <w:rFonts w:ascii="Goudy Old Style" w:hAnsi="Goudy Old Style"/>
          <w:color w:val="000000"/>
        </w:rPr>
        <w:t xml:space="preserve"> ini membahas relevansi pemikiran Ibn Khaldun dengan historiografi modern melalui analisis komparatif dan sintesis teoritik. Relevansi tersebut tidak dimaksudkan untuk menyamakan secara </w:t>
      </w:r>
      <w:r w:rsidRPr="00CD47A2">
        <w:rPr>
          <w:rFonts w:ascii="Goudy Old Style" w:hAnsi="Goudy Old Style"/>
        </w:rPr>
        <w:t>historis</w:t>
      </w:r>
      <w:r w:rsidRPr="00CD47A2">
        <w:rPr>
          <w:rFonts w:ascii="Goudy Old Style" w:hAnsi="Goudy Old Style"/>
          <w:color w:val="000000"/>
        </w:rPr>
        <w:t xml:space="preserve"> dua tradisi intelektual yang berbed</w:t>
      </w:r>
      <w:r w:rsidRPr="00CD47A2">
        <w:rPr>
          <w:rFonts w:ascii="Goudy Old Style" w:hAnsi="Goudy Old Style"/>
          <w:color w:val="000000"/>
        </w:rPr>
        <w:t xml:space="preserve">a konteks ruang dan waktunya, melainkan untuk menunjukkan kesinambungan metodologis dan epistemologis yang memperlihatkan bahwa prinsip-prinsip dasar historiografi ilmiah telah dirumuskan jauh sebelum </w:t>
      </w:r>
      <w:r w:rsidRPr="00CD47A2">
        <w:rPr>
          <w:rFonts w:ascii="Goudy Old Style" w:hAnsi="Goudy Old Style"/>
          <w:color w:val="000000"/>
        </w:rPr>
        <w:lastRenderedPageBreak/>
        <w:t>kemunculan sejarah modern di Barat. Dalam kerangka ini,</w:t>
      </w:r>
      <w:r w:rsidRPr="00CD47A2">
        <w:rPr>
          <w:rFonts w:ascii="Goudy Old Style" w:hAnsi="Goudy Old Style"/>
          <w:color w:val="000000"/>
        </w:rPr>
        <w:t xml:space="preserve"> Ibn Khaldun diposisikan sebagai jembatan intelektual antara tradisi Islam dan historiografi modern.</w:t>
      </w:r>
      <w:r w:rsidRPr="00CD47A2">
        <w:rPr>
          <w:rFonts w:ascii="Goudy Old Style" w:hAnsi="Goudy Old Style"/>
          <w:color w:val="000000"/>
          <w:vertAlign w:val="superscript"/>
        </w:rPr>
        <w:footnoteReference w:id="17"/>
      </w:r>
    </w:p>
    <w:p w14:paraId="00000041"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Salah satu titik relevansi paling jelas antara pemikiran Ibn Khaldun dan historiografi modern terletak pada penekanan terhadap kritik sumber. Ibn Khaldun</w:t>
      </w:r>
      <w:r w:rsidRPr="00CD47A2">
        <w:rPr>
          <w:rFonts w:ascii="Goudy Old Style" w:hAnsi="Goudy Old Style"/>
          <w:color w:val="000000"/>
        </w:rPr>
        <w:t xml:space="preserve"> secara tegas menolak penerimaan berita sejarah tanpa verifikasi rasional. Prinsip ini sejalan dengan praktik kritik internal dan eksternal dalam historiografi modern yang menuntut pengujian keaslian, kredibilitas, dan konsistensi sumber. Meskipun terminol</w:t>
      </w:r>
      <w:r w:rsidRPr="00CD47A2">
        <w:rPr>
          <w:rFonts w:ascii="Goudy Old Style" w:hAnsi="Goudy Old Style"/>
          <w:color w:val="000000"/>
        </w:rPr>
        <w:t>ogi dan teknik yang digunakan berbeda, semangat metodologis yang mendasarinya menunjukkan kesamaan yang substansial. Dengan demikian, kritik sumber yang dikembangkan Ibn Khaldun dapat dipahami sebagai bentuk awal dari metodologi sejarah ilmiah.</w:t>
      </w:r>
    </w:p>
    <w:p w14:paraId="00000042"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John Tosh m</w:t>
      </w:r>
      <w:r w:rsidRPr="00CD47A2">
        <w:rPr>
          <w:rFonts w:ascii="Goudy Old Style" w:hAnsi="Goudy Old Style"/>
          <w:color w:val="000000"/>
        </w:rPr>
        <w:t>enjelaskan bahwa tugas utama sejarawan adalah memahami proses perubahan dan hubungan sebab-akibat dalam masyarakat. Perspektif ini memiliki kesesuaian dengan pendekatan Ibn Khaldun yang menempatkan sejarah sebagai hasil interaksi faktor sosial, ekonomi, po</w:t>
      </w:r>
      <w:r w:rsidRPr="00CD47A2">
        <w:rPr>
          <w:rFonts w:ascii="Goudy Old Style" w:hAnsi="Goudy Old Style"/>
          <w:color w:val="000000"/>
        </w:rPr>
        <w:t>litik, dan moral. Dengan demikian, historiografi Ibn Khaldun dapat dipahami sebagai bentuk awal analisis kausal dalam sejarah ilmiah.</w:t>
      </w:r>
    </w:p>
    <w:p w14:paraId="00000043"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Relevansi berikutnya tampak dalam penggunaan analisis sebab-akibat sebagai landasan pemahaman sejarah. Ibn Khaldun menegas</w:t>
      </w:r>
      <w:r w:rsidRPr="00CD47A2">
        <w:rPr>
          <w:rFonts w:ascii="Goudy Old Style" w:hAnsi="Goudy Old Style"/>
          <w:color w:val="000000"/>
        </w:rPr>
        <w:t xml:space="preserve">kan bahwa peristiwa sejarah harus dijelaskan melalui hubungan kausal yang rasional, bukan semata-mata dikaitkan dengan kehendak metafisis atau kebetulan. Pendekatan ini sejalan dengan historiografi modern yang memandang sejarah sebagai proses dinamis yang </w:t>
      </w:r>
      <w:r w:rsidRPr="00CD47A2">
        <w:rPr>
          <w:rFonts w:ascii="Goudy Old Style" w:hAnsi="Goudy Old Style"/>
          <w:color w:val="000000"/>
        </w:rPr>
        <w:t>melibatkan interaksi berbagai faktor sosial, ekonomi, dan politik. Kesamaan ini menunjukkan bahwa Ibn Khaldun telah merumuskan prinsip kausalitas sejarah yang menjadi inti pendekatan analitis dalam sejarah modern.</w:t>
      </w:r>
      <w:r w:rsidRPr="00CD47A2">
        <w:rPr>
          <w:rFonts w:ascii="Goudy Old Style" w:hAnsi="Goudy Old Style"/>
          <w:color w:val="000000"/>
          <w:vertAlign w:val="superscript"/>
        </w:rPr>
        <w:footnoteReference w:id="18"/>
      </w:r>
    </w:p>
    <w:p w14:paraId="00000044"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 xml:space="preserve">Konsep </w:t>
      </w:r>
      <w:r w:rsidRPr="00CD47A2">
        <w:rPr>
          <w:rFonts w:ascii="Goudy Old Style" w:hAnsi="Goudy Old Style"/>
          <w:i/>
          <w:iCs/>
          <w:color w:val="000000"/>
        </w:rPr>
        <w:t>‘</w:t>
      </w:r>
      <w:r w:rsidRPr="00CD47A2">
        <w:rPr>
          <w:rFonts w:ascii="Goudy Old Style" w:hAnsi="Goudy Old Style"/>
          <w:i/>
          <w:iCs/>
        </w:rPr>
        <w:t>ashabiyah</w:t>
      </w:r>
      <w:r w:rsidRPr="00CD47A2">
        <w:rPr>
          <w:rFonts w:ascii="Goudy Old Style" w:hAnsi="Goudy Old Style"/>
          <w:color w:val="000000"/>
        </w:rPr>
        <w:t xml:space="preserve"> juga menunjukkan relev</w:t>
      </w:r>
      <w:r w:rsidRPr="00CD47A2">
        <w:rPr>
          <w:rFonts w:ascii="Goudy Old Style" w:hAnsi="Goudy Old Style"/>
          <w:color w:val="000000"/>
        </w:rPr>
        <w:t>ansi yang kuat dengan analisis historiografi modern, khususnya dalam kajian tentang kekuasaan, solidaritas sosial, dan perubahan politik. Dalam historiografi dan ilmu sosial modern, konsep-konsep seperti kohesi sosial, solidaritas kelompok, dan modal sosia</w:t>
      </w:r>
      <w:r w:rsidRPr="00CD47A2">
        <w:rPr>
          <w:rFonts w:ascii="Goudy Old Style" w:hAnsi="Goudy Old Style"/>
          <w:color w:val="000000"/>
        </w:rPr>
        <w:t xml:space="preserve">l digunakan untuk menjelaskan stabilitas dan konflik dalam masyarakat. </w:t>
      </w:r>
      <w:r w:rsidRPr="00CD47A2">
        <w:rPr>
          <w:rFonts w:ascii="Goudy Old Style" w:hAnsi="Goudy Old Style"/>
          <w:i/>
          <w:iCs/>
          <w:color w:val="000000"/>
        </w:rPr>
        <w:t>‘Asabiyyah</w:t>
      </w:r>
      <w:r w:rsidRPr="00CD47A2">
        <w:rPr>
          <w:rFonts w:ascii="Goudy Old Style" w:hAnsi="Goudy Old Style"/>
          <w:color w:val="000000"/>
        </w:rPr>
        <w:t xml:space="preserve"> dapat dipahami sebagai bentuk awal dari konsep-konsep tersebut, yang memberikan kerangka teoritik untuk menganalisis dinamika kekuasaan dan perubahan sosial. Oleh karena itu,</w:t>
      </w:r>
      <w:r w:rsidRPr="00CD47A2">
        <w:rPr>
          <w:rFonts w:ascii="Goudy Old Style" w:hAnsi="Goudy Old Style"/>
          <w:color w:val="000000"/>
        </w:rPr>
        <w:t xml:space="preserve"> pemikiran Ibn Khaldun memiliki nilai analitis yang melampaui konteks historisnya.</w:t>
      </w:r>
    </w:p>
    <w:p w14:paraId="00000045"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Relevansi pemikiran Ibn Khaldun juga terlihat dalam perhatian terhadap struktur sosial dan kondisi material masyarakat. Pendekatan ‘</w:t>
      </w:r>
      <w:r w:rsidRPr="00CD47A2">
        <w:rPr>
          <w:rFonts w:ascii="Goudy Old Style" w:hAnsi="Goudy Old Style"/>
          <w:i/>
          <w:iCs/>
          <w:color w:val="000000"/>
        </w:rPr>
        <w:t>ilm al-’umran</w:t>
      </w:r>
      <w:r w:rsidRPr="00CD47A2">
        <w:rPr>
          <w:rFonts w:ascii="Goudy Old Style" w:hAnsi="Goudy Old Style"/>
          <w:color w:val="000000"/>
        </w:rPr>
        <w:t xml:space="preserve"> menempatkan kehidupan sosial sebagai kunci untuk memahami sejarah. Prinsip ini sejalan dengan perkembangan sejarah sosial dan sejarah ekonomi dalam historiografi modern, yang menekankan pentingnya struktur sosial, relasi ekonomi, dan kondisi material dala</w:t>
      </w:r>
      <w:r w:rsidRPr="00CD47A2">
        <w:rPr>
          <w:rFonts w:ascii="Goudy Old Style" w:hAnsi="Goudy Old Style"/>
          <w:color w:val="000000"/>
        </w:rPr>
        <w:t>m membentuk peristiwa sejarah. Dengan demikian, Ibn Khaldun dapat dipandang sebagai perintis pendekatan struktural dalam historiografi.</w:t>
      </w:r>
    </w:p>
    <w:p w14:paraId="00000046"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Aspek interdisipliner dalam pemikiran Ibn Khaldun semakin memperkuat relevansinya dengan historiografi modern. Dengan me</w:t>
      </w:r>
      <w:r w:rsidRPr="00CD47A2">
        <w:rPr>
          <w:rFonts w:ascii="Goudy Old Style" w:hAnsi="Goudy Old Style"/>
          <w:color w:val="000000"/>
        </w:rPr>
        <w:t xml:space="preserve">ngintegrasikan analisis politik, ekonomi, dan sosial, </w:t>
      </w:r>
      <w:r w:rsidRPr="00CD47A2">
        <w:rPr>
          <w:rFonts w:ascii="Goudy Old Style" w:hAnsi="Goudy Old Style"/>
          <w:color w:val="000000"/>
        </w:rPr>
        <w:lastRenderedPageBreak/>
        <w:t>Ibn Khaldun telah menerapkan pendekatan yang kini menjadi ciri khas sejarah modern.</w:t>
      </w:r>
      <w:r w:rsidRPr="00CD47A2">
        <w:rPr>
          <w:rFonts w:ascii="Goudy Old Style" w:hAnsi="Goudy Old Style"/>
          <w:color w:val="000000"/>
          <w:vertAlign w:val="superscript"/>
        </w:rPr>
        <w:footnoteReference w:id="19"/>
      </w:r>
      <w:r w:rsidRPr="00CD47A2">
        <w:rPr>
          <w:rFonts w:ascii="Goudy Old Style" w:hAnsi="Goudy Old Style"/>
          <w:color w:val="000000"/>
        </w:rPr>
        <w:t xml:space="preserve"> Historiografi modern secara luas memanfaatkan teori dan metode dari ilmu-ilmu sosial untuk memperkaya analisis sejar</w:t>
      </w:r>
      <w:r w:rsidRPr="00CD47A2">
        <w:rPr>
          <w:rFonts w:ascii="Goudy Old Style" w:hAnsi="Goudy Old Style"/>
          <w:color w:val="000000"/>
        </w:rPr>
        <w:t>ah. Kesamaan ini menunjukkan bahwa pendekatan Ibn Khaldun tidak hanya bersifat historis, tetapi juga metodologis dan konseptual.</w:t>
      </w:r>
    </w:p>
    <w:p w14:paraId="00000047"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Relevansi lain yang penting adalah kesadaran reflektif terhadap subjektivitas sejarawan. Ibn Khaldun menyadari bahwa penulis se</w:t>
      </w:r>
      <w:r w:rsidRPr="00CD47A2">
        <w:rPr>
          <w:rFonts w:ascii="Goudy Old Style" w:hAnsi="Goudy Old Style"/>
          <w:color w:val="000000"/>
        </w:rPr>
        <w:t>jarah dapat terpengaruh oleh latar belakang sosial, politik, dan ideologinya. Kesadaran ini sejalan dengan refleksi historiografi modern tentang posisi dan peran sejarawan dalam proses penulisan sejarah. Historiografi modern mengakui bahwa objektivitas abs</w:t>
      </w:r>
      <w:r w:rsidRPr="00CD47A2">
        <w:rPr>
          <w:rFonts w:ascii="Goudy Old Style" w:hAnsi="Goudy Old Style"/>
          <w:color w:val="000000"/>
        </w:rPr>
        <w:t>olut sulit dicapai, sehingga menuntut keterbukaan metodologis dan refleksi kritis.</w:t>
      </w:r>
      <w:r w:rsidRPr="00CD47A2">
        <w:rPr>
          <w:rFonts w:ascii="Goudy Old Style" w:hAnsi="Goudy Old Style"/>
          <w:color w:val="000000"/>
          <w:vertAlign w:val="superscript"/>
        </w:rPr>
        <w:footnoteReference w:id="20"/>
      </w:r>
      <w:r w:rsidRPr="00CD47A2">
        <w:rPr>
          <w:rFonts w:ascii="Goudy Old Style" w:hAnsi="Goudy Old Style"/>
          <w:color w:val="000000"/>
        </w:rPr>
        <w:t xml:space="preserve"> Dalam hal ini, Ibn Khaldun telah menunjukkan kesadaran epistemologis yang sangat maju.</w:t>
      </w:r>
    </w:p>
    <w:p w14:paraId="00000048"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Selain kesamaan metodologis, relevansi pemikiran Ibn Khaldun dengan historiografi mo</w:t>
      </w:r>
      <w:r w:rsidRPr="00CD47A2">
        <w:rPr>
          <w:rFonts w:ascii="Goudy Old Style" w:hAnsi="Goudy Old Style"/>
          <w:color w:val="000000"/>
        </w:rPr>
        <w:t>dern juga memiliki implikasi epistemologis yang lebih luas. Pemikiran Ibn Khaldun menantang narasi euro-sentris yang sering memandang historiografi ilmiah sebagai produk eksklusif modernitas Barat. Dengan menunjukkan bahwa prinsip-prinsip historiografi kri</w:t>
      </w:r>
      <w:r w:rsidRPr="00CD47A2">
        <w:rPr>
          <w:rFonts w:ascii="Goudy Old Style" w:hAnsi="Goudy Old Style"/>
          <w:color w:val="000000"/>
        </w:rPr>
        <w:t>tis telah berkembang dalam tradisi Islam abad ke-14, penelitian ini berkontribusi pada upaya dekolonisasi pengetahuan dan pengakuan terhadap pluralitas tradisi intelektual global.</w:t>
      </w:r>
    </w:p>
    <w:p w14:paraId="00000049"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Dalam konteks historiografi kontemporer, relevansi Ibn Khaldun juga dapat di</w:t>
      </w:r>
      <w:r w:rsidRPr="00CD47A2">
        <w:rPr>
          <w:rFonts w:ascii="Goudy Old Style" w:hAnsi="Goudy Old Style"/>
          <w:color w:val="000000"/>
        </w:rPr>
        <w:t xml:space="preserve">lihat dari kegunaan konseptual pemikirannya untuk menganalisis fenomena modern. Konsep </w:t>
      </w:r>
      <w:r w:rsidRPr="00CD47A2">
        <w:rPr>
          <w:rFonts w:ascii="Goudy Old Style" w:hAnsi="Goudy Old Style"/>
          <w:i/>
          <w:iCs/>
          <w:color w:val="000000"/>
        </w:rPr>
        <w:t>‘</w:t>
      </w:r>
      <w:r w:rsidRPr="00CD47A2">
        <w:rPr>
          <w:rFonts w:ascii="Goudy Old Style" w:hAnsi="Goudy Old Style"/>
          <w:i/>
          <w:iCs/>
        </w:rPr>
        <w:t>ashabiyah</w:t>
      </w:r>
      <w:r w:rsidRPr="00CD47A2">
        <w:rPr>
          <w:rFonts w:ascii="Goudy Old Style" w:hAnsi="Goudy Old Style"/>
          <w:color w:val="000000"/>
        </w:rPr>
        <w:t xml:space="preserve"> dan siklus peradaban sering digunakan untuk memahami dinamika negara-bangsa, konflik identitas, dan perubahan politik di dunia modern. Meskipun konteksnya berbeda, kerangka analitis yang ditawarkan Ibn Khaldun tetap memiliki daya jelaskan yang signifikan.</w:t>
      </w:r>
      <w:r w:rsidRPr="00CD47A2">
        <w:rPr>
          <w:rFonts w:ascii="Goudy Old Style" w:hAnsi="Goudy Old Style"/>
          <w:color w:val="000000"/>
        </w:rPr>
        <w:t xml:space="preserve"> Hal ini menunjukkan bahwa pemikirannya tidak hanya bersifat historis, tetapi juga transhistoris.</w:t>
      </w:r>
    </w:p>
    <w:p w14:paraId="0000004A"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Penempatan Ibn Khaldun dalam diskursus historiografi modern juga relevan dengan pendekatan dekolonisasi historiografi yang berupaya mengkritik dominasi narasi</w:t>
      </w:r>
      <w:r w:rsidRPr="00CD47A2">
        <w:rPr>
          <w:rFonts w:ascii="Goudy Old Style" w:hAnsi="Goudy Old Style"/>
          <w:color w:val="000000"/>
        </w:rPr>
        <w:t xml:space="preserve"> Barat dalam sejarah ilmu pengetahuan. Pemikiran Ibn Khaldun menunjukkan bahwa tradisi intelektual Islam telah mengembangkan prinsip-prinsip historiografi ilmiah secara independen sebelum berkembangnya historiografi modern di Eropa.</w:t>
      </w:r>
    </w:p>
    <w:p w14:paraId="0000004B"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Dengan demikian, releva</w:t>
      </w:r>
      <w:r w:rsidRPr="00CD47A2">
        <w:rPr>
          <w:rFonts w:ascii="Goudy Old Style" w:hAnsi="Goudy Old Style"/>
          <w:color w:val="000000"/>
        </w:rPr>
        <w:t>nsi pemikiran Ibn Khaldun dengan historiografi modern mencakup kesamaan metodologis, konseptual, dan epistemologis. Ibn Khaldun dapat dipahami sebagai pemikir yang mendahului zamannya dan meletakkan dasar bagi historiografi ilmiah. Relevansi ini menegaskan</w:t>
      </w:r>
      <w:r w:rsidRPr="00CD47A2">
        <w:rPr>
          <w:rFonts w:ascii="Goudy Old Style" w:hAnsi="Goudy Old Style"/>
          <w:color w:val="000000"/>
        </w:rPr>
        <w:t xml:space="preserve"> posisinya sebagai jembatan intelektual antara tradisi Islam dan sejarah modern, serta memperkaya wacana historiografi global dengan perspektif yang lebih inklusif dan dialogis.</w:t>
      </w:r>
    </w:p>
    <w:p w14:paraId="0000004C" w14:textId="77777777" w:rsidR="000172AE" w:rsidRPr="00CD47A2" w:rsidRDefault="000172AE">
      <w:pPr>
        <w:pBdr>
          <w:top w:val="nil"/>
          <w:left w:val="nil"/>
          <w:bottom w:val="nil"/>
          <w:right w:val="nil"/>
          <w:between w:val="nil"/>
        </w:pBdr>
        <w:spacing w:line="240" w:lineRule="auto"/>
        <w:ind w:firstLine="720"/>
        <w:rPr>
          <w:rFonts w:ascii="Goudy Old Style" w:hAnsi="Goudy Old Style"/>
          <w:color w:val="000000"/>
        </w:rPr>
      </w:pPr>
    </w:p>
    <w:p w14:paraId="0000004D" w14:textId="77777777" w:rsidR="000172AE" w:rsidRPr="00CD47A2" w:rsidRDefault="00583925">
      <w:pPr>
        <w:pBdr>
          <w:top w:val="nil"/>
          <w:left w:val="nil"/>
          <w:bottom w:val="nil"/>
          <w:right w:val="nil"/>
          <w:between w:val="nil"/>
        </w:pBdr>
        <w:spacing w:line="240" w:lineRule="auto"/>
        <w:rPr>
          <w:rFonts w:ascii="Goudy Old Style" w:hAnsi="Goudy Old Style"/>
          <w:b/>
          <w:bCs/>
          <w:color w:val="000000"/>
        </w:rPr>
      </w:pPr>
      <w:r w:rsidRPr="00CD47A2">
        <w:rPr>
          <w:rFonts w:ascii="Goudy Old Style" w:hAnsi="Goudy Old Style"/>
          <w:b/>
          <w:bCs/>
          <w:color w:val="000000"/>
        </w:rPr>
        <w:t>Kesimpulan</w:t>
      </w:r>
    </w:p>
    <w:p w14:paraId="0000004E"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Studi ini menegaskan bahwa pemikiran historiografi Ibn Khaldun dal</w:t>
      </w:r>
      <w:r w:rsidRPr="00CD47A2">
        <w:rPr>
          <w:rFonts w:ascii="Goudy Old Style" w:hAnsi="Goudy Old Style"/>
          <w:color w:val="000000"/>
        </w:rPr>
        <w:t>am al-Muqaddimah merepresentasikan suatu paradigma historiografi kritis yang memiliki kesesuaian metodologis dan epistemologis yang signifikan dengan historiografi modern. Temuan utama penelitian menunjukkan bahwa konsep-konsep kunci Ibn Khaldun-seperti kr</w:t>
      </w:r>
      <w:r w:rsidRPr="00CD47A2">
        <w:rPr>
          <w:rFonts w:ascii="Goudy Old Style" w:hAnsi="Goudy Old Style"/>
          <w:color w:val="000000"/>
        </w:rPr>
        <w:t xml:space="preserve">itik sumber, analisis sebab-akibat, </w:t>
      </w:r>
      <w:r w:rsidRPr="00CD47A2">
        <w:rPr>
          <w:rFonts w:ascii="Goudy Old Style" w:hAnsi="Goudy Old Style"/>
          <w:i/>
          <w:iCs/>
          <w:color w:val="000000"/>
        </w:rPr>
        <w:t>‘</w:t>
      </w:r>
      <w:r w:rsidRPr="00CD47A2">
        <w:rPr>
          <w:rFonts w:ascii="Goudy Old Style" w:hAnsi="Goudy Old Style"/>
          <w:i/>
          <w:iCs/>
        </w:rPr>
        <w:t>ashabiyah</w:t>
      </w:r>
      <w:r w:rsidRPr="00CD47A2">
        <w:rPr>
          <w:rFonts w:ascii="Goudy Old Style" w:hAnsi="Goudy Old Style"/>
          <w:color w:val="000000"/>
        </w:rPr>
        <w:t xml:space="preserve">, dan ‘ilm al-’umran-tidak hanya berfungsi sebagai kerangka analitis untuk memahami dinamika sejarah Islam abad pertengahan, tetapi juga memiliki daya jelaskan yang </w:t>
      </w:r>
      <w:r w:rsidRPr="00CD47A2">
        <w:rPr>
          <w:rFonts w:ascii="Goudy Old Style" w:hAnsi="Goudy Old Style"/>
          <w:color w:val="000000"/>
        </w:rPr>
        <w:lastRenderedPageBreak/>
        <w:t>relevan untuk pendekatan sejarah modern. Pemb</w:t>
      </w:r>
      <w:r w:rsidRPr="00CD47A2">
        <w:rPr>
          <w:rFonts w:ascii="Goudy Old Style" w:hAnsi="Goudy Old Style"/>
          <w:color w:val="000000"/>
        </w:rPr>
        <w:t>ahasan memperlihatkan bahwa prinsip-prinsip historiografi ilmiah yang sering diasosiasikan dengan modernitas Barat sejatinya telah dirumuskan secara sistematis dalam tradisi intelektual Islam melalui pemikiran Ibn Khaldun.</w:t>
      </w:r>
    </w:p>
    <w:p w14:paraId="0000004F" w14:textId="77777777" w:rsidR="000172AE" w:rsidRPr="00CD47A2" w:rsidRDefault="00583925">
      <w:pPr>
        <w:pBdr>
          <w:top w:val="nil"/>
          <w:left w:val="nil"/>
          <w:bottom w:val="nil"/>
          <w:right w:val="nil"/>
          <w:between w:val="nil"/>
        </w:pBdr>
        <w:spacing w:line="240" w:lineRule="auto"/>
        <w:ind w:firstLine="720"/>
        <w:rPr>
          <w:rFonts w:ascii="Goudy Old Style" w:hAnsi="Goudy Old Style"/>
          <w:color w:val="000000"/>
        </w:rPr>
      </w:pPr>
      <w:r w:rsidRPr="00CD47A2">
        <w:rPr>
          <w:rFonts w:ascii="Goudy Old Style" w:hAnsi="Goudy Old Style"/>
          <w:color w:val="000000"/>
        </w:rPr>
        <w:t>Kontribusi utama studi ini terlet</w:t>
      </w:r>
      <w:r w:rsidRPr="00CD47A2">
        <w:rPr>
          <w:rFonts w:ascii="Goudy Old Style" w:hAnsi="Goudy Old Style"/>
          <w:color w:val="000000"/>
        </w:rPr>
        <w:t xml:space="preserve">ak pada penegasan posisi Ibn Khaldun sebagai jembatan intelektual antara tradisi Islam dan historiografi modern, sekaligus sebagai kritik terhadap narasi euro-sentris dalam sejarah ilmu pengetahuan. Implikasi </w:t>
      </w:r>
      <w:r w:rsidRPr="00CD47A2">
        <w:rPr>
          <w:rFonts w:ascii="Goudy Old Style" w:hAnsi="Goudy Old Style"/>
        </w:rPr>
        <w:t>teoritis</w:t>
      </w:r>
      <w:r w:rsidRPr="00CD47A2">
        <w:rPr>
          <w:rFonts w:ascii="Goudy Old Style" w:hAnsi="Goudy Old Style"/>
          <w:color w:val="000000"/>
        </w:rPr>
        <w:t xml:space="preserve"> penelitian ini memperluas pemahaman te</w:t>
      </w:r>
      <w:r w:rsidRPr="00CD47A2">
        <w:rPr>
          <w:rFonts w:ascii="Goudy Old Style" w:hAnsi="Goudy Old Style"/>
          <w:color w:val="000000"/>
        </w:rPr>
        <w:t xml:space="preserve">ntang asal-usul historiografi ilmiah dan mendorong pendekatan yang lebih inklusif dalam kajian sejarah global. Secara praktis, hasil studi ini dapat memperkaya kerangka metodologis dalam penelitian sejarah dan ilmu sosial dengan memanfaatkan konsep-konsep </w:t>
      </w:r>
      <w:r w:rsidRPr="00CD47A2">
        <w:rPr>
          <w:rFonts w:ascii="Goudy Old Style" w:hAnsi="Goudy Old Style"/>
          <w:color w:val="000000"/>
        </w:rPr>
        <w:t xml:space="preserve">Ibn Khaldun secara kontekstual. Penelitian lanjutan disarankan untuk mengkaji penerapan empiris konsep </w:t>
      </w:r>
      <w:r w:rsidRPr="00CD47A2">
        <w:rPr>
          <w:rFonts w:ascii="Goudy Old Style" w:hAnsi="Goudy Old Style"/>
          <w:i/>
          <w:iCs/>
          <w:color w:val="000000"/>
        </w:rPr>
        <w:t>‘</w:t>
      </w:r>
      <w:r w:rsidRPr="00CD47A2">
        <w:rPr>
          <w:rFonts w:ascii="Goudy Old Style" w:hAnsi="Goudy Old Style"/>
          <w:i/>
          <w:iCs/>
        </w:rPr>
        <w:t>ashabiyah</w:t>
      </w:r>
      <w:r w:rsidRPr="00CD47A2">
        <w:rPr>
          <w:rFonts w:ascii="Goudy Old Style" w:hAnsi="Goudy Old Style"/>
          <w:color w:val="000000"/>
        </w:rPr>
        <w:t xml:space="preserve"> dan </w:t>
      </w:r>
      <w:r w:rsidRPr="00CD47A2">
        <w:rPr>
          <w:rFonts w:ascii="Goudy Old Style" w:hAnsi="Goudy Old Style"/>
          <w:i/>
          <w:iCs/>
          <w:color w:val="000000"/>
        </w:rPr>
        <w:t>‘umran</w:t>
      </w:r>
      <w:r w:rsidRPr="00CD47A2">
        <w:rPr>
          <w:rFonts w:ascii="Goudy Old Style" w:hAnsi="Goudy Old Style"/>
          <w:color w:val="000000"/>
        </w:rPr>
        <w:t xml:space="preserve"> dalam analisis kasus sejarah atau fenomena sosial-politik kontemporer, serta melakukan dialog lebih luas antara historiografi Islam</w:t>
      </w:r>
      <w:r w:rsidRPr="00CD47A2">
        <w:rPr>
          <w:rFonts w:ascii="Goudy Old Style" w:hAnsi="Goudy Old Style"/>
          <w:color w:val="000000"/>
        </w:rPr>
        <w:t xml:space="preserve"> dan tradisi historiografi non-Barat lainnya.</w:t>
      </w:r>
    </w:p>
    <w:p w14:paraId="00000050" w14:textId="77777777" w:rsidR="000172AE" w:rsidRPr="00CD47A2" w:rsidRDefault="000172AE">
      <w:pPr>
        <w:pBdr>
          <w:top w:val="nil"/>
          <w:left w:val="nil"/>
          <w:bottom w:val="nil"/>
          <w:right w:val="nil"/>
          <w:between w:val="nil"/>
        </w:pBdr>
        <w:spacing w:line="240" w:lineRule="auto"/>
        <w:ind w:firstLine="720"/>
        <w:rPr>
          <w:rFonts w:ascii="Goudy Old Style" w:hAnsi="Goudy Old Style"/>
          <w:color w:val="000000"/>
        </w:rPr>
      </w:pPr>
    </w:p>
    <w:p w14:paraId="00000051" w14:textId="77777777" w:rsidR="000172AE" w:rsidRPr="00CD47A2" w:rsidRDefault="00583925">
      <w:pPr>
        <w:rPr>
          <w:rFonts w:ascii="Goudy Old Style" w:hAnsi="Goudy Old Style"/>
          <w:b/>
          <w:bCs/>
          <w:color w:val="000000"/>
        </w:rPr>
      </w:pPr>
      <w:r w:rsidRPr="00CD47A2">
        <w:rPr>
          <w:rFonts w:ascii="Goudy Old Style" w:hAnsi="Goudy Old Style"/>
        </w:rPr>
        <w:br w:type="page"/>
      </w:r>
    </w:p>
    <w:p w14:paraId="00000052" w14:textId="77777777" w:rsidR="000172AE" w:rsidRPr="00CD47A2" w:rsidRDefault="00583925">
      <w:pPr>
        <w:pBdr>
          <w:top w:val="nil"/>
          <w:left w:val="nil"/>
          <w:bottom w:val="nil"/>
          <w:right w:val="nil"/>
          <w:between w:val="nil"/>
        </w:pBdr>
        <w:spacing w:line="240" w:lineRule="auto"/>
        <w:rPr>
          <w:rFonts w:ascii="Goudy Old Style" w:hAnsi="Goudy Old Style"/>
          <w:b/>
          <w:bCs/>
          <w:color w:val="000000"/>
        </w:rPr>
      </w:pPr>
      <w:r w:rsidRPr="00CD47A2">
        <w:rPr>
          <w:rFonts w:ascii="Goudy Old Style" w:hAnsi="Goudy Old Style"/>
          <w:b/>
          <w:bCs/>
          <w:color w:val="000000"/>
        </w:rPr>
        <w:lastRenderedPageBreak/>
        <w:t>Daftar Pustaka</w:t>
      </w:r>
    </w:p>
    <w:p w14:paraId="00000053"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 xml:space="preserve">Ahmad Habib Akramullah, Susmihara, Ahmad Yani, ‘Muqaddimah Ibn Khaldun:Telaah Historiografi Islam’, </w:t>
      </w:r>
      <w:r w:rsidRPr="00CD47A2">
        <w:rPr>
          <w:rFonts w:ascii="Goudy Old Style" w:hAnsi="Goudy Old Style"/>
          <w:i/>
          <w:iCs/>
          <w:color w:val="000000"/>
        </w:rPr>
        <w:t>Al-Hikmah</w:t>
      </w:r>
      <w:r w:rsidRPr="00CD47A2">
        <w:rPr>
          <w:rFonts w:ascii="Goudy Old Style" w:hAnsi="Goudy Old Style"/>
          <w:color w:val="000000"/>
        </w:rPr>
        <w:t xml:space="preserve"> (Makassar), 23.Vol. 23 No. 2 (2021): December (2023), pp. 51–60, doi:https://doi.org/10.24252/al-hikmah.v23i2.34427.</w:t>
      </w:r>
    </w:p>
    <w:p w14:paraId="00000054"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Alamshah, Anisah, And Others,</w:t>
      </w:r>
      <w:r w:rsidRPr="00CD47A2">
        <w:rPr>
          <w:rFonts w:ascii="Goudy Old Style" w:hAnsi="Goudy Old Style"/>
          <w:color w:val="000000"/>
        </w:rPr>
        <w:t xml:space="preserve"> ‘Metode Penulisan Sejarah Kitab Tarikh Al-Umam Wa Al-Muluk Karya Al-Thabari’, </w:t>
      </w:r>
      <w:r w:rsidRPr="00CD47A2">
        <w:rPr>
          <w:rFonts w:ascii="Goudy Old Style" w:hAnsi="Goudy Old Style"/>
          <w:i/>
          <w:iCs/>
          <w:color w:val="000000"/>
        </w:rPr>
        <w:t>Journal Rihlah</w:t>
      </w:r>
      <w:r w:rsidRPr="00CD47A2">
        <w:rPr>
          <w:rFonts w:ascii="Goudy Old Style" w:hAnsi="Goudy Old Style"/>
          <w:color w:val="000000"/>
        </w:rPr>
        <w:t>, 11.1 (2023), Pp. 1–20.</w:t>
      </w:r>
    </w:p>
    <w:p w14:paraId="00000055"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 xml:space="preserve">Darmawan, Budi, and Danil Mahmud Chaniago, ‘Studi Historiografi Islam Klasik: Kritik Dan Tinjauan Terhadap Karya Al-Mas’udi’, </w:t>
      </w:r>
      <w:r w:rsidRPr="00CD47A2">
        <w:rPr>
          <w:rFonts w:ascii="Goudy Old Style" w:hAnsi="Goudy Old Style"/>
          <w:i/>
          <w:iCs/>
          <w:color w:val="000000"/>
        </w:rPr>
        <w:t>Fajar Histor</w:t>
      </w:r>
      <w:r w:rsidRPr="00CD47A2">
        <w:rPr>
          <w:rFonts w:ascii="Goudy Old Style" w:hAnsi="Goudy Old Style"/>
          <w:i/>
          <w:iCs/>
          <w:color w:val="000000"/>
        </w:rPr>
        <w:t>ia: Jurnal Ilmu Sejarah Dan Pendidikan</w:t>
      </w:r>
      <w:r w:rsidRPr="00CD47A2">
        <w:rPr>
          <w:rFonts w:ascii="Goudy Old Style" w:hAnsi="Goudy Old Style"/>
          <w:color w:val="000000"/>
        </w:rPr>
        <w:t>, 8.2 (2024), pp. 233–49, doi:10.29408/fhs.v8i2.24858.</w:t>
      </w:r>
    </w:p>
    <w:p w14:paraId="00000056"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 xml:space="preserve">Disbudparpora, Maryam, and Kab Muaro Jambi Jl Lintas Timur Bukit Cinto kenang Sengeti Muaro Jambi, ‘Kontribusi Ibnu Khaldun Dalam Historiografi Islam’, </w:t>
      </w:r>
      <w:r w:rsidRPr="00CD47A2">
        <w:rPr>
          <w:rFonts w:ascii="Goudy Old Style" w:hAnsi="Goudy Old Style"/>
          <w:i/>
          <w:iCs/>
          <w:color w:val="000000"/>
        </w:rPr>
        <w:t>ThaqÃfiyyÃT</w:t>
      </w:r>
      <w:r w:rsidRPr="00CD47A2">
        <w:rPr>
          <w:rFonts w:ascii="Goudy Old Style" w:hAnsi="Goudy Old Style"/>
          <w:color w:val="000000"/>
        </w:rPr>
        <w:t>, no. 1 (June 2012), pp. 205–22.</w:t>
      </w:r>
    </w:p>
    <w:p w14:paraId="00000057"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rPr>
        <w:t xml:space="preserve">Derani, Saidun. “Metode Sejarah Ibn Khaldun.” </w:t>
      </w:r>
      <w:r w:rsidRPr="00CD47A2">
        <w:rPr>
          <w:rFonts w:ascii="Goudy Old Style" w:hAnsi="Goudy Old Style"/>
          <w:i/>
          <w:iCs/>
        </w:rPr>
        <w:t>Buletin Al-Turas</w:t>
      </w:r>
      <w:r w:rsidRPr="00CD47A2">
        <w:rPr>
          <w:rFonts w:ascii="Goudy Old Style" w:hAnsi="Goudy Old Style"/>
        </w:rPr>
        <w:t xml:space="preserve"> 17, no. 1 (2011).</w:t>
      </w:r>
    </w:p>
    <w:p w14:paraId="00000058" w14:textId="678F33BE"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 xml:space="preserve">Fadhilah Ariani, Nurul Hak, ‘Historiografi Islam Modern: Telaah Fiqhus Sirah Karya Muhammad Sa’id Ramadhan Al-Buthi’, </w:t>
      </w:r>
      <w:r w:rsidRPr="00CD47A2">
        <w:rPr>
          <w:rFonts w:ascii="Goudy Old Style" w:hAnsi="Goudy Old Style"/>
          <w:i/>
          <w:iCs/>
          <w:color w:val="000000"/>
        </w:rPr>
        <w:t>Jurnal Thaq</w:t>
      </w:r>
      <w:r w:rsidRPr="00CD47A2">
        <w:rPr>
          <w:rFonts w:ascii="Cambria" w:eastAsia="Cambria" w:hAnsi="Cambria" w:cs="Cambria"/>
          <w:i/>
          <w:iCs/>
          <w:color w:val="000000"/>
        </w:rPr>
        <w:t>ā</w:t>
      </w:r>
      <w:r w:rsidRPr="00CD47A2">
        <w:rPr>
          <w:rFonts w:ascii="Goudy Old Style" w:hAnsi="Goudy Old Style"/>
          <w:i/>
          <w:iCs/>
          <w:color w:val="000000"/>
        </w:rPr>
        <w:t>fiyy</w:t>
      </w:r>
      <w:r w:rsidRPr="00CD47A2">
        <w:rPr>
          <w:rFonts w:ascii="Cambria" w:eastAsia="Cambria" w:hAnsi="Cambria" w:cs="Cambria"/>
          <w:i/>
          <w:iCs/>
          <w:color w:val="000000"/>
        </w:rPr>
        <w:t>ā</w:t>
      </w:r>
      <w:r w:rsidRPr="00CD47A2">
        <w:rPr>
          <w:rFonts w:ascii="Goudy Old Style" w:hAnsi="Goudy Old Style"/>
          <w:i/>
          <w:iCs/>
          <w:color w:val="000000"/>
        </w:rPr>
        <w:t>t</w:t>
      </w:r>
      <w:r w:rsidRPr="00CD47A2">
        <w:rPr>
          <w:rFonts w:ascii="Goudy Old Style" w:hAnsi="Goudy Old Style"/>
          <w:color w:val="000000"/>
        </w:rPr>
        <w:t xml:space="preserve">, no. </w:t>
      </w:r>
      <w:r w:rsidRPr="00CD47A2">
        <w:rPr>
          <w:rFonts w:ascii="Goudy Old Style" w:hAnsi="Goudy Old Style"/>
          <w:color w:val="000000"/>
        </w:rPr>
        <w:t>Vol 23, No. 2 (2024) (September 2024), pp. 150–62, doi:DOI:https://doi.org/10.14421/thaq.2024.23203</w:t>
      </w:r>
      <w:r w:rsidR="00CD47A2" w:rsidRPr="00CD47A2">
        <w:rPr>
          <w:rFonts w:ascii="Goudy Old Style" w:hAnsi="Goudy Old Style"/>
          <w:color w:val="000000"/>
        </w:rPr>
        <w:t>.</w:t>
      </w:r>
    </w:p>
    <w:p w14:paraId="00000059"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 xml:space="preserve">Hamzah, Saidin, and Andi Khaerun Nisa, ‘Metode Sejarah Dalam Perspektif Ibnu Khaldun (Telaah Kitab </w:t>
      </w:r>
      <w:r w:rsidRPr="00CD47A2">
        <w:rPr>
          <w:rFonts w:ascii="Goudy Old Style" w:hAnsi="Goudy Old Style"/>
        </w:rPr>
        <w:t>Muqaddimah</w:t>
      </w:r>
      <w:r w:rsidRPr="00CD47A2">
        <w:rPr>
          <w:rFonts w:ascii="Goudy Old Style" w:hAnsi="Goudy Old Style"/>
          <w:color w:val="000000"/>
        </w:rPr>
        <w:t xml:space="preserve">)’, </w:t>
      </w:r>
      <w:r w:rsidRPr="00CD47A2">
        <w:rPr>
          <w:rFonts w:ascii="Goudy Old Style" w:hAnsi="Goudy Old Style"/>
          <w:i/>
          <w:iCs/>
          <w:color w:val="000000"/>
        </w:rPr>
        <w:t>Jurnal Carita</w:t>
      </w:r>
      <w:r w:rsidRPr="00CD47A2">
        <w:rPr>
          <w:rFonts w:ascii="Goudy Old Style" w:hAnsi="Goudy Old Style"/>
          <w:color w:val="000000"/>
        </w:rPr>
        <w:t xml:space="preserve">, no. 1 (July 2023), pp. 34–43 </w:t>
      </w:r>
      <w:hyperlink r:id="rId11">
        <w:r w:rsidR="000172AE" w:rsidRPr="00CD47A2">
          <w:rPr>
            <w:rFonts w:ascii="Goudy Old Style" w:hAnsi="Goudy Old Style"/>
            <w:color w:val="0000FF"/>
            <w:u w:val="single"/>
          </w:rPr>
          <w:t>https://ejurnal.iainpare.ac.id/index.php/carita</w:t>
        </w:r>
      </w:hyperlink>
      <w:r w:rsidRPr="00CD47A2">
        <w:rPr>
          <w:rFonts w:ascii="Goudy Old Style" w:hAnsi="Goudy Old Style"/>
          <w:color w:val="000000"/>
        </w:rPr>
        <w:t>.</w:t>
      </w:r>
    </w:p>
    <w:p w14:paraId="0000005A"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Hesti Andriani, Rahmawati, Syamzan Syukur, ‘AL-QALAM</w:t>
      </w:r>
      <w:r w:rsidRPr="00CD47A2">
        <w:rPr>
          <w:rFonts w:ascii="Times New Roman" w:eastAsia="Times New Roman" w:hAnsi="Times New Roman" w:cs="Times New Roman"/>
          <w:color w:val="000000"/>
        </w:rPr>
        <w:t> </w:t>
      </w:r>
      <w:r w:rsidRPr="00CD47A2">
        <w:rPr>
          <w:rFonts w:ascii="Goudy Old Style" w:hAnsi="Goudy Old Style"/>
          <w:color w:val="000000"/>
        </w:rPr>
        <w:t xml:space="preserve">: Jurnal Kajian Islam Dan Pendidikan Sejarah Intelektual Islam Di Bidang Tasawuf: Imam Al-Ghazali, Ibn Arabi, Dan Mulla Shadra’, </w:t>
      </w:r>
      <w:r w:rsidRPr="00CD47A2">
        <w:rPr>
          <w:rFonts w:ascii="Goudy Old Style" w:hAnsi="Goudy Old Style"/>
          <w:i/>
          <w:iCs/>
          <w:color w:val="000000"/>
        </w:rPr>
        <w:t>AL-QALAM</w:t>
      </w:r>
      <w:r w:rsidRPr="00CD47A2">
        <w:rPr>
          <w:rFonts w:ascii="Times New Roman" w:eastAsia="Times New Roman" w:hAnsi="Times New Roman" w:cs="Times New Roman"/>
          <w:i/>
          <w:iCs/>
          <w:color w:val="000000"/>
        </w:rPr>
        <w:t> </w:t>
      </w:r>
      <w:r w:rsidRPr="00CD47A2">
        <w:rPr>
          <w:rFonts w:ascii="Goudy Old Style" w:hAnsi="Goudy Old Style"/>
          <w:i/>
          <w:iCs/>
          <w:color w:val="000000"/>
        </w:rPr>
        <w:t>: Jurnal Kajian Islam Dan Pendidikan</w:t>
      </w:r>
      <w:r w:rsidRPr="00CD47A2">
        <w:rPr>
          <w:rFonts w:ascii="Goudy Old Style" w:hAnsi="Goudy Old Style"/>
          <w:color w:val="000000"/>
        </w:rPr>
        <w:t>, no. Volume</w:t>
      </w:r>
      <w:r w:rsidRPr="00CD47A2">
        <w:rPr>
          <w:rFonts w:ascii="Goudy Old Style" w:hAnsi="Goudy Old Style"/>
          <w:color w:val="000000"/>
        </w:rPr>
        <w:t xml:space="preserve"> 16, No.2, 2024 (December 2024), pp. 396–402, doi:10.47435/al-qalam.v16i1.3376.</w:t>
      </w:r>
    </w:p>
    <w:p w14:paraId="0000005B"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Ibn Khaldun sebagai Sejarawan Islam Agung dan Relevansinya dengan Historiografi Kontemporer, Pemikiran, and others, ‘Pemikiran Ibn Khaldun Sebagai Sejarawan Islam Agung Dan Rel</w:t>
      </w:r>
      <w:r w:rsidRPr="00CD47A2">
        <w:rPr>
          <w:rFonts w:ascii="Goudy Old Style" w:hAnsi="Goudy Old Style"/>
          <w:color w:val="000000"/>
        </w:rPr>
        <w:t xml:space="preserve">evansinya Dengan Historiografi Kontemporer’, in </w:t>
      </w:r>
      <w:r w:rsidRPr="00CD47A2">
        <w:rPr>
          <w:rFonts w:ascii="Goudy Old Style" w:hAnsi="Goudy Old Style"/>
          <w:i/>
          <w:iCs/>
          <w:color w:val="000000"/>
        </w:rPr>
        <w:t>INSANCITA: Journal of Islamic Studies in Indonesia and Southeast Asia</w:t>
      </w:r>
      <w:r w:rsidRPr="00CD47A2">
        <w:rPr>
          <w:rFonts w:ascii="Goudy Old Style" w:hAnsi="Goudy Old Style"/>
          <w:color w:val="000000"/>
        </w:rPr>
        <w:t xml:space="preserve">, no. 1 (Minda Masagi Press, 2018), </w:t>
      </w:r>
      <w:r w:rsidRPr="00CD47A2">
        <w:rPr>
          <w:rFonts w:ascii="Goudy Old Style" w:hAnsi="Goudy Old Style"/>
          <w:smallCaps/>
          <w:color w:val="000000"/>
        </w:rPr>
        <w:t>iii</w:t>
      </w:r>
      <w:r w:rsidRPr="00CD47A2">
        <w:rPr>
          <w:rFonts w:ascii="Goudy Old Style" w:hAnsi="Goudy Old Style"/>
          <w:color w:val="000000"/>
        </w:rPr>
        <w:t xml:space="preserve"> </w:t>
      </w:r>
      <w:hyperlink r:id="rId12">
        <w:r w:rsidR="000172AE" w:rsidRPr="00CD47A2">
          <w:rPr>
            <w:rFonts w:ascii="Goudy Old Style" w:hAnsi="Goudy Old Style"/>
            <w:color w:val="0000FF"/>
            <w:u w:val="single"/>
          </w:rPr>
          <w:t>www.mindamas-journals.com/index.php/insancita</w:t>
        </w:r>
      </w:hyperlink>
      <w:r w:rsidRPr="00CD47A2">
        <w:rPr>
          <w:rFonts w:ascii="Goudy Old Style" w:hAnsi="Goudy Old Style"/>
          <w:color w:val="000000"/>
        </w:rPr>
        <w:t>.</w:t>
      </w:r>
    </w:p>
    <w:p w14:paraId="0000005C"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 xml:space="preserve">Iqbal, ‘Ibnu Khaldun: Konsep Sejarah Dan Filsafat Pendidikan Dalam Perspektif Klasik’, </w:t>
      </w:r>
      <w:r w:rsidRPr="00CD47A2">
        <w:rPr>
          <w:rFonts w:ascii="Goudy Old Style" w:hAnsi="Goudy Old Style"/>
          <w:i/>
          <w:iCs/>
          <w:color w:val="000000"/>
        </w:rPr>
        <w:t>JIS: Journal Islamic Studies</w:t>
      </w:r>
      <w:r w:rsidRPr="00CD47A2">
        <w:rPr>
          <w:rFonts w:ascii="Goudy Old Style" w:hAnsi="Goudy Old Style"/>
          <w:color w:val="000000"/>
        </w:rPr>
        <w:t>, 3.2 (2025), pp. 109–18, doi:10.71456/jis.v3i2.1334.</w:t>
      </w:r>
    </w:p>
    <w:p w14:paraId="0000005D"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Issah Abeebllahi Obalowu, Yusuf Basirat Bolanle., ‘Scrutinising His</w:t>
      </w:r>
      <w:r w:rsidRPr="00CD47A2">
        <w:rPr>
          <w:rFonts w:ascii="Goudy Old Style" w:hAnsi="Goudy Old Style"/>
          <w:color w:val="000000"/>
        </w:rPr>
        <w:t>torical Narrations: Between Ibn Khald</w:t>
      </w:r>
      <w:r w:rsidRPr="00CD47A2">
        <w:rPr>
          <w:rFonts w:ascii="Cambria" w:eastAsia="Cambria" w:hAnsi="Cambria" w:cs="Cambria"/>
          <w:color w:val="000000"/>
        </w:rPr>
        <w:t>ū</w:t>
      </w:r>
      <w:r w:rsidRPr="00CD47A2">
        <w:rPr>
          <w:rFonts w:ascii="Goudy Old Style" w:hAnsi="Goudy Old Style"/>
          <w:color w:val="000000"/>
        </w:rPr>
        <w:t xml:space="preserve">n and the Scholars of </w:t>
      </w:r>
      <w:r w:rsidRPr="00CD47A2">
        <w:rPr>
          <w:rFonts w:ascii="Cambria" w:eastAsia="Cambria" w:hAnsi="Cambria" w:cs="Cambria"/>
          <w:color w:val="000000"/>
        </w:rPr>
        <w:t>Ḥ</w:t>
      </w:r>
      <w:r w:rsidRPr="00CD47A2">
        <w:rPr>
          <w:rFonts w:ascii="Goudy Old Style" w:hAnsi="Goudy Old Style"/>
          <w:color w:val="000000"/>
        </w:rPr>
        <w:t>ad</w:t>
      </w:r>
      <w:r w:rsidRPr="00CD47A2">
        <w:rPr>
          <w:rFonts w:ascii="Cambria" w:eastAsia="Cambria" w:hAnsi="Cambria" w:cs="Cambria"/>
          <w:color w:val="000000"/>
        </w:rPr>
        <w:t>ī</w:t>
      </w:r>
      <w:r w:rsidRPr="00CD47A2">
        <w:rPr>
          <w:rFonts w:ascii="Goudy Old Style" w:hAnsi="Goudy Old Style"/>
          <w:color w:val="000000"/>
        </w:rPr>
        <w:t xml:space="preserve">th Criticism’, </w:t>
      </w:r>
      <w:r w:rsidRPr="00CD47A2">
        <w:rPr>
          <w:rFonts w:ascii="Goudy Old Style" w:hAnsi="Goudy Old Style"/>
          <w:i/>
          <w:iCs/>
          <w:color w:val="000000"/>
        </w:rPr>
        <w:t>Islamic Revealed Knowledge and Human Sciences International Islamic University Malaysia</w:t>
      </w:r>
      <w:r w:rsidRPr="00CD47A2">
        <w:rPr>
          <w:rFonts w:ascii="Goudy Old Style" w:hAnsi="Goudy Old Style"/>
          <w:color w:val="000000"/>
        </w:rPr>
        <w:t>, 6.Volume 6, Number 1, 2022 (2022), p. 2022.</w:t>
      </w:r>
    </w:p>
    <w:p w14:paraId="0000005E"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 xml:space="preserve">Kamaruzaman, Azmul Fahimi, and Nabeela Akrasha Surtahman, ‘Genesis Falsafah Sejarah Islam Dan Perkembangannya Pasca Ibn Khaldun’, </w:t>
      </w:r>
      <w:r w:rsidRPr="00CD47A2">
        <w:rPr>
          <w:rFonts w:ascii="Goudy Old Style" w:hAnsi="Goudy Old Style"/>
          <w:i/>
          <w:iCs/>
          <w:color w:val="000000"/>
        </w:rPr>
        <w:t>Islamiyyat</w:t>
      </w:r>
      <w:r w:rsidRPr="00CD47A2">
        <w:rPr>
          <w:rFonts w:ascii="Goudy Old Style" w:hAnsi="Goudy Old Style"/>
          <w:color w:val="000000"/>
        </w:rPr>
        <w:t>, 43.1 (2020), pp. 37–49, doi:10.17576/islamiyyat-2021-4301-04.</w:t>
      </w:r>
    </w:p>
    <w:p w14:paraId="0000005F"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Lintang Tranggono, Nurwahidin, ‘Analisis Perkembanga</w:t>
      </w:r>
      <w:r w:rsidRPr="00CD47A2">
        <w:rPr>
          <w:rFonts w:ascii="Goudy Old Style" w:hAnsi="Goudy Old Style"/>
          <w:color w:val="000000"/>
        </w:rPr>
        <w:t xml:space="preserve">n Historiografi Timur Tengah Dan Islam: Pra Islam, Islam Klasik, &amp; Modern’, </w:t>
      </w:r>
      <w:r w:rsidRPr="00CD47A2">
        <w:rPr>
          <w:rFonts w:ascii="Goudy Old Style" w:hAnsi="Goudy Old Style"/>
          <w:i/>
          <w:iCs/>
          <w:color w:val="000000"/>
        </w:rPr>
        <w:t>Syntax Literate: Jurnal Ilmiah Indonesia</w:t>
      </w:r>
      <w:r w:rsidRPr="00CD47A2">
        <w:rPr>
          <w:rFonts w:ascii="Goudy Old Style" w:hAnsi="Goudy Old Style"/>
          <w:color w:val="000000"/>
        </w:rPr>
        <w:t>, no. Vol. 8, No. 5, Mei 2023 (May 2023), doi:Http://Dx.Doi.Org/10.36418/Syntax-Literate.v8i5.9628.</w:t>
      </w:r>
    </w:p>
    <w:p w14:paraId="00000060"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lastRenderedPageBreak/>
        <w:t xml:space="preserve">Mahardika, Moch. Dimas Galuh, ‘Pengaruh </w:t>
      </w:r>
      <w:r w:rsidRPr="00CD47A2">
        <w:rPr>
          <w:rFonts w:ascii="Goudy Old Style" w:hAnsi="Goudy Old Style"/>
          <w:color w:val="000000"/>
        </w:rPr>
        <w:t xml:space="preserve">Pemikiran Ibnu Khaldun Dalam Rumusan Filsafat Sejarah Nasional Muhammad Yamin’, </w:t>
      </w:r>
      <w:r w:rsidRPr="00CD47A2">
        <w:rPr>
          <w:rFonts w:ascii="Goudy Old Style" w:hAnsi="Goudy Old Style"/>
          <w:i/>
          <w:iCs/>
          <w:color w:val="000000"/>
        </w:rPr>
        <w:t>Refleksi Jurnal Filsafat Dan Pemikiran Islam</w:t>
      </w:r>
      <w:r w:rsidRPr="00CD47A2">
        <w:rPr>
          <w:rFonts w:ascii="Goudy Old Style" w:hAnsi="Goudy Old Style"/>
          <w:color w:val="000000"/>
        </w:rPr>
        <w:t>, 25.1 (2025), pp. 18–36, doi:10.14421/ref.v25i1.5976.</w:t>
      </w:r>
    </w:p>
    <w:p w14:paraId="00000061"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Pamungkas, Winahyu Fajar, and others, ‘Historiografi Modern Indonesia: Analis</w:t>
      </w:r>
      <w:r w:rsidRPr="00CD47A2">
        <w:rPr>
          <w:rFonts w:ascii="Goudy Old Style" w:hAnsi="Goudy Old Style"/>
          <w:color w:val="000000"/>
        </w:rPr>
        <w:t xml:space="preserve">is Kritis Atas Dominasi Narasi Negara Dan Kontra-Narasi Sejarah’, </w:t>
      </w:r>
      <w:r w:rsidRPr="00CD47A2">
        <w:rPr>
          <w:rFonts w:ascii="Goudy Old Style" w:hAnsi="Goudy Old Style"/>
          <w:i/>
          <w:iCs/>
          <w:color w:val="000000"/>
        </w:rPr>
        <w:t>Jurnal Pendidikan Tambusai</w:t>
      </w:r>
      <w:r w:rsidRPr="00CD47A2">
        <w:rPr>
          <w:rFonts w:ascii="Goudy Old Style" w:hAnsi="Goudy Old Style"/>
          <w:color w:val="000000"/>
        </w:rPr>
        <w:t>, no. 3 (September 2025), pp. 30972–76.</w:t>
      </w:r>
    </w:p>
    <w:p w14:paraId="00000062"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 xml:space="preserve">Puji Miftahul Arfi, ‘Corak Historiografi Islam Indonesia Periode Modern’, </w:t>
      </w:r>
      <w:r w:rsidRPr="00CD47A2">
        <w:rPr>
          <w:rFonts w:ascii="Goudy Old Style" w:hAnsi="Goudy Old Style"/>
          <w:i/>
          <w:iCs/>
          <w:color w:val="000000"/>
        </w:rPr>
        <w:t>Jurnal Adabiyah</w:t>
      </w:r>
      <w:r w:rsidRPr="00CD47A2">
        <w:rPr>
          <w:rFonts w:ascii="Goudy Old Style" w:hAnsi="Goudy Old Style"/>
          <w:color w:val="000000"/>
        </w:rPr>
        <w:t>, 26.2 (2024), pp. 202–11, doi:10.2</w:t>
      </w:r>
      <w:r w:rsidRPr="00CD47A2">
        <w:rPr>
          <w:rFonts w:ascii="Goudy Old Style" w:hAnsi="Goudy Old Style"/>
          <w:color w:val="000000"/>
        </w:rPr>
        <w:t>2373/adabiya.v26i2.21658.</w:t>
      </w:r>
    </w:p>
    <w:p w14:paraId="00000063"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 xml:space="preserve">Shabila, Azza, and others, ‘Relevansi Pemikiran Sejarah Ibn Khaldun Dalam Perspektif Historiografi Modern’, </w:t>
      </w:r>
      <w:r w:rsidRPr="00CD47A2">
        <w:rPr>
          <w:rFonts w:ascii="Goudy Old Style" w:hAnsi="Goudy Old Style"/>
          <w:i/>
          <w:iCs/>
          <w:color w:val="000000"/>
        </w:rPr>
        <w:t>Prosiding Konferensi Nasional Mahasiswa Sejarah Peradaban Islam</w:t>
      </w:r>
      <w:r w:rsidRPr="00CD47A2">
        <w:rPr>
          <w:rFonts w:ascii="Goudy Old Style" w:hAnsi="Goudy Old Style"/>
          <w:color w:val="000000"/>
        </w:rPr>
        <w:t xml:space="preserve">, 2.2 (2025), pp. 108–11 </w:t>
      </w:r>
      <w:hyperlink r:id="rId13">
        <w:r w:rsidR="000172AE" w:rsidRPr="00CD47A2">
          <w:rPr>
            <w:rFonts w:ascii="Goudy Old Style" w:hAnsi="Goudy Old Style"/>
            <w:color w:val="0000FF"/>
            <w:u w:val="single"/>
          </w:rPr>
          <w:t>https://proceedings.uinsa.ac.id/index.php/konmaspi</w:t>
        </w:r>
      </w:hyperlink>
      <w:r w:rsidRPr="00CD47A2">
        <w:rPr>
          <w:rFonts w:ascii="Goudy Old Style" w:hAnsi="Goudy Old Style"/>
          <w:color w:val="000000"/>
        </w:rPr>
        <w:t>.</w:t>
      </w:r>
    </w:p>
    <w:p w14:paraId="00000064"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 xml:space="preserve">Sidik, Saepul Japar, Abas Mansur Tamam, and Hasbi Indra, ‘Nilai-Nilai Keimanan Dalam Pemikiran Sejarah Ibnu Khaldun Pada Kitab al-Muqaddimah’, </w:t>
      </w:r>
      <w:r w:rsidRPr="00CD47A2">
        <w:rPr>
          <w:rFonts w:ascii="Goudy Old Style" w:hAnsi="Goudy Old Style"/>
          <w:i/>
          <w:iCs/>
          <w:color w:val="000000"/>
        </w:rPr>
        <w:t>Tawazun: Jurnal Pendidika</w:t>
      </w:r>
      <w:r w:rsidRPr="00CD47A2">
        <w:rPr>
          <w:rFonts w:ascii="Goudy Old Style" w:hAnsi="Goudy Old Style"/>
          <w:i/>
          <w:iCs/>
          <w:color w:val="000000"/>
        </w:rPr>
        <w:t>n Islam</w:t>
      </w:r>
      <w:r w:rsidRPr="00CD47A2">
        <w:rPr>
          <w:rFonts w:ascii="Goudy Old Style" w:hAnsi="Goudy Old Style"/>
          <w:color w:val="000000"/>
        </w:rPr>
        <w:t>, 14.1 (2021), p. 1, doi:10.32832/tawazun.v14i1.4010.</w:t>
      </w:r>
    </w:p>
    <w:p w14:paraId="00000065"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Uluwiyah, Tarbyatul, ‘Sejarah Pendidikan Islam</w:t>
      </w:r>
      <w:r w:rsidRPr="00CD47A2">
        <w:rPr>
          <w:rFonts w:ascii="Times New Roman" w:eastAsia="Times New Roman" w:hAnsi="Times New Roman" w:cs="Times New Roman"/>
          <w:color w:val="000000"/>
        </w:rPr>
        <w:t> </w:t>
      </w:r>
      <w:r w:rsidRPr="00CD47A2">
        <w:rPr>
          <w:rFonts w:ascii="Goudy Old Style" w:hAnsi="Goudy Old Style"/>
          <w:color w:val="000000"/>
        </w:rPr>
        <w:t xml:space="preserve">: Perspektif Pemikiran Ibnu </w:t>
      </w:r>
      <w:r w:rsidRPr="00CD47A2">
        <w:rPr>
          <w:rFonts w:ascii="Goudy Old Style" w:hAnsi="Goudy Old Style"/>
        </w:rPr>
        <w:t>Khaldun</w:t>
      </w:r>
      <w:r w:rsidRPr="00CD47A2">
        <w:rPr>
          <w:rFonts w:ascii="Goudy Old Style" w:hAnsi="Goudy Old Style"/>
          <w:color w:val="000000"/>
        </w:rPr>
        <w:t xml:space="preserve"> Dan Relevansinya Dengan Pendidikan Di Indonesia’, </w:t>
      </w:r>
      <w:r w:rsidRPr="00CD47A2">
        <w:rPr>
          <w:rFonts w:ascii="Goudy Old Style" w:hAnsi="Goudy Old Style"/>
          <w:i/>
          <w:iCs/>
          <w:color w:val="000000"/>
        </w:rPr>
        <w:t>Tarbiyah Islamiyah: Jurnal Ilmiah Pendidikan Agama Islam</w:t>
      </w:r>
      <w:r w:rsidRPr="00CD47A2">
        <w:rPr>
          <w:rFonts w:ascii="Goudy Old Style" w:hAnsi="Goudy Old Style"/>
          <w:color w:val="000000"/>
        </w:rPr>
        <w:t>, 13.2</w:t>
      </w:r>
      <w:r w:rsidRPr="00CD47A2">
        <w:rPr>
          <w:rFonts w:ascii="Goudy Old Style" w:hAnsi="Goudy Old Style"/>
          <w:color w:val="000000"/>
        </w:rPr>
        <w:t xml:space="preserve"> (2024), pp. 67–77, doi:10.18592/jtipai.v13i2.9616.</w:t>
      </w:r>
    </w:p>
    <w:p w14:paraId="00000066" w14:textId="77777777" w:rsidR="000172AE" w:rsidRPr="00CD47A2" w:rsidRDefault="00583925" w:rsidP="00CD47A2">
      <w:pPr>
        <w:spacing w:after="120" w:line="240" w:lineRule="auto"/>
        <w:ind w:left="720" w:hanging="720"/>
        <w:rPr>
          <w:rFonts w:ascii="Goudy Old Style" w:hAnsi="Goudy Old Style"/>
          <w:color w:val="000000"/>
        </w:rPr>
      </w:pPr>
      <w:r w:rsidRPr="00CD47A2">
        <w:rPr>
          <w:rFonts w:ascii="Goudy Old Style" w:hAnsi="Goudy Old Style"/>
          <w:color w:val="000000"/>
        </w:rPr>
        <w:t>——, ‘Sejarah Pendidikan Islam</w:t>
      </w:r>
      <w:r w:rsidRPr="00CD47A2">
        <w:rPr>
          <w:rFonts w:ascii="Times New Roman" w:eastAsia="Times New Roman" w:hAnsi="Times New Roman" w:cs="Times New Roman"/>
          <w:color w:val="000000"/>
        </w:rPr>
        <w:t> </w:t>
      </w:r>
      <w:r w:rsidRPr="00CD47A2">
        <w:rPr>
          <w:rFonts w:ascii="Goudy Old Style" w:hAnsi="Goudy Old Style"/>
          <w:color w:val="000000"/>
        </w:rPr>
        <w:t xml:space="preserve">: Perspektif Pemikiran Ibnu </w:t>
      </w:r>
      <w:r w:rsidRPr="00CD47A2">
        <w:rPr>
          <w:rFonts w:ascii="Goudy Old Style" w:hAnsi="Goudy Old Style"/>
        </w:rPr>
        <w:t>Khaldun</w:t>
      </w:r>
      <w:r w:rsidRPr="00CD47A2">
        <w:rPr>
          <w:rFonts w:ascii="Goudy Old Style" w:hAnsi="Goudy Old Style"/>
          <w:color w:val="000000"/>
        </w:rPr>
        <w:t xml:space="preserve"> Dan Relevansinya Dengan Pendidikan Di Indonesia’, </w:t>
      </w:r>
      <w:r w:rsidRPr="00CD47A2">
        <w:rPr>
          <w:rFonts w:ascii="Goudy Old Style" w:hAnsi="Goudy Old Style"/>
          <w:i/>
          <w:iCs/>
          <w:color w:val="000000"/>
        </w:rPr>
        <w:t>Tarbiyah Islamiyah: Jurnal Ilmiah Pendidikan Agama Islam</w:t>
      </w:r>
      <w:r w:rsidRPr="00CD47A2">
        <w:rPr>
          <w:rFonts w:ascii="Goudy Old Style" w:hAnsi="Goudy Old Style"/>
          <w:color w:val="000000"/>
        </w:rPr>
        <w:t>, 13.2 (2024), pp. 67–77, doi:10</w:t>
      </w:r>
      <w:r w:rsidRPr="00CD47A2">
        <w:rPr>
          <w:rFonts w:ascii="Goudy Old Style" w:hAnsi="Goudy Old Style"/>
          <w:color w:val="000000"/>
        </w:rPr>
        <w:t>.18592/jtipai.v13i2.9616.</w:t>
      </w:r>
    </w:p>
    <w:p w14:paraId="00000067" w14:textId="77777777" w:rsidR="000172AE" w:rsidRPr="00CD47A2" w:rsidRDefault="00583925" w:rsidP="00CD47A2">
      <w:pPr>
        <w:pBdr>
          <w:top w:val="nil"/>
          <w:left w:val="nil"/>
          <w:bottom w:val="nil"/>
          <w:right w:val="nil"/>
          <w:between w:val="nil"/>
        </w:pBdr>
        <w:spacing w:after="120" w:line="240" w:lineRule="auto"/>
        <w:ind w:left="720" w:hanging="720"/>
        <w:rPr>
          <w:rFonts w:ascii="Goudy Old Style" w:hAnsi="Goudy Old Style"/>
          <w:color w:val="000000"/>
        </w:rPr>
      </w:pPr>
      <w:r w:rsidRPr="00CD47A2">
        <w:rPr>
          <w:rFonts w:ascii="Goudy Old Style" w:hAnsi="Goudy Old Style"/>
          <w:color w:val="000000"/>
        </w:rPr>
        <w:t> </w:t>
      </w:r>
    </w:p>
    <w:sectPr w:rsidR="000172AE" w:rsidRPr="00CD47A2">
      <w:headerReference w:type="default" r:id="rId14"/>
      <w:footerReference w:type="default" r:id="rId15"/>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A45E8" w14:textId="77777777" w:rsidR="00583925" w:rsidRDefault="00583925">
      <w:pPr>
        <w:spacing w:line="240" w:lineRule="auto"/>
      </w:pPr>
      <w:r>
        <w:separator/>
      </w:r>
    </w:p>
  </w:endnote>
  <w:endnote w:type="continuationSeparator" w:id="0">
    <w:p w14:paraId="10E59D44" w14:textId="77777777" w:rsidR="00583925" w:rsidRDefault="005839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orts Mill Goudy">
    <w:altName w:val="Calibri"/>
    <w:charset w:val="00"/>
    <w:family w:val="auto"/>
    <w:pitch w:val="default"/>
    <w:embedRegular r:id="rId1" w:fontKey="{AC2286CE-A4E5-42DB-939A-5ED8D42C7059}"/>
    <w:embedBold r:id="rId2" w:fontKey="{C03004A4-0459-434B-87B9-D4A0EB511643}"/>
    <w:embedItalic r:id="rId3" w:fontKey="{3347D414-46E5-4059-8922-C1723B18A06D}"/>
    <w:embedBoldItalic r:id="rId4" w:fontKey="{6FDF0BEB-376A-4236-9D93-5C912360FF4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BD3A9C30-1C1D-4483-A22F-4A2B3239C8DC}"/>
  </w:font>
  <w:font w:name="Goudy Old Style">
    <w:altName w:val="Cambria"/>
    <w:charset w:val="00"/>
    <w:family w:val="roman"/>
    <w:pitch w:val="variable"/>
    <w:sig w:usb0="00000003" w:usb1="00000000" w:usb2="00000000" w:usb3="00000000" w:csb0="00000001" w:csb1="00000000"/>
    <w:embedRegular r:id="rId6" w:fontKey="{5B63C11E-C91B-4E3E-A3C9-27618537EB0B}"/>
    <w:embedBold r:id="rId7" w:fontKey="{F29E6483-B1F2-4D15-A7C8-05FE1C6EDFDC}"/>
    <w:embedItalic r:id="rId8" w:fontKey="{961F29A2-16F4-4BC2-9BE7-9BB11DD2202B}"/>
    <w:embedBoldItalic r:id="rId9" w:fontKey="{EBA4235F-04C7-4A73-9A64-A23D66E7C24F}"/>
  </w:font>
  <w:font w:name="Cambria">
    <w:panose1 w:val="02040503050406030204"/>
    <w:charset w:val="00"/>
    <w:family w:val="roman"/>
    <w:pitch w:val="variable"/>
    <w:sig w:usb0="E00006FF" w:usb1="420024FF" w:usb2="02000000" w:usb3="00000000" w:csb0="0000019F" w:csb1="00000000"/>
    <w:embedRegular r:id="rId10" w:fontKey="{E13FD635-FDF0-4D2B-8D8F-D6B40ACB2B7F}"/>
    <w:embedItalic r:id="rId11" w:fontKey="{4D69A30E-9D8C-4FA7-A44A-AD26FE4B7EBB}"/>
  </w:font>
  <w:font w:name="Calibri">
    <w:panose1 w:val="020F0502020204030204"/>
    <w:charset w:val="00"/>
    <w:family w:val="swiss"/>
    <w:pitch w:val="variable"/>
    <w:sig w:usb0="E4002EFF" w:usb1="C200247B" w:usb2="00000009" w:usb3="00000000" w:csb0="000001FF" w:csb1="00000000"/>
    <w:embedRegular r:id="rId12" w:fontKey="{8BF2EDE8-D001-4C6D-AC29-4AC5CE453EA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7D" w14:textId="48C17C2C" w:rsidR="000172AE" w:rsidRPr="00CD47A2" w:rsidRDefault="00583925">
    <w:pPr>
      <w:pBdr>
        <w:top w:val="nil"/>
        <w:left w:val="nil"/>
        <w:bottom w:val="nil"/>
        <w:right w:val="nil"/>
        <w:between w:val="nil"/>
      </w:pBdr>
      <w:tabs>
        <w:tab w:val="center" w:pos="4680"/>
        <w:tab w:val="right" w:pos="9360"/>
      </w:tabs>
      <w:spacing w:line="240" w:lineRule="auto"/>
      <w:jc w:val="right"/>
      <w:rPr>
        <w:rFonts w:ascii="Goudy Old Style" w:hAnsi="Goudy Old Style"/>
        <w:color w:val="000000"/>
      </w:rPr>
    </w:pPr>
    <w:r w:rsidRPr="00CD47A2">
      <w:rPr>
        <w:rFonts w:ascii="Goudy Old Style" w:hAnsi="Goudy Old Style"/>
        <w:color w:val="000000"/>
      </w:rPr>
      <w:fldChar w:fldCharType="begin"/>
    </w:r>
    <w:r w:rsidRPr="00CD47A2">
      <w:rPr>
        <w:rFonts w:ascii="Goudy Old Style" w:hAnsi="Goudy Old Style"/>
        <w:color w:val="000000"/>
      </w:rPr>
      <w:instrText>PAGE</w:instrText>
    </w:r>
    <w:r w:rsidRPr="00CD47A2">
      <w:rPr>
        <w:rFonts w:ascii="Goudy Old Style" w:hAnsi="Goudy Old Style"/>
        <w:color w:val="000000"/>
      </w:rPr>
      <w:fldChar w:fldCharType="separate"/>
    </w:r>
    <w:r w:rsidR="00CD47A2" w:rsidRPr="00CD47A2">
      <w:rPr>
        <w:rFonts w:ascii="Goudy Old Style" w:hAnsi="Goudy Old Style"/>
        <w:noProof/>
        <w:color w:val="000000"/>
      </w:rPr>
      <w:t>1</w:t>
    </w:r>
    <w:r w:rsidRPr="00CD47A2">
      <w:rPr>
        <w:rFonts w:ascii="Goudy Old Style" w:hAnsi="Goudy Old Style"/>
        <w:color w:val="000000"/>
      </w:rPr>
      <w:fldChar w:fldCharType="end"/>
    </w:r>
  </w:p>
  <w:p w14:paraId="0000007E" w14:textId="77777777" w:rsidR="000172AE" w:rsidRPr="00CD47A2" w:rsidRDefault="000172AE">
    <w:pPr>
      <w:pBdr>
        <w:top w:val="nil"/>
        <w:left w:val="nil"/>
        <w:bottom w:val="nil"/>
        <w:right w:val="nil"/>
        <w:between w:val="nil"/>
      </w:pBdr>
      <w:tabs>
        <w:tab w:val="center" w:pos="4680"/>
        <w:tab w:val="right" w:pos="9360"/>
      </w:tabs>
      <w:spacing w:line="240" w:lineRule="auto"/>
      <w:rPr>
        <w:rFonts w:ascii="Goudy Old Style" w:hAnsi="Goudy Old Styl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D9441" w14:textId="77777777" w:rsidR="00583925" w:rsidRDefault="00583925">
      <w:pPr>
        <w:spacing w:line="240" w:lineRule="auto"/>
      </w:pPr>
      <w:r>
        <w:separator/>
      </w:r>
    </w:p>
  </w:footnote>
  <w:footnote w:type="continuationSeparator" w:id="0">
    <w:p w14:paraId="40681FB6" w14:textId="77777777" w:rsidR="00583925" w:rsidRDefault="00583925">
      <w:pPr>
        <w:spacing w:line="240" w:lineRule="auto"/>
      </w:pPr>
      <w:r>
        <w:continuationSeparator/>
      </w:r>
    </w:p>
  </w:footnote>
  <w:footnote w:id="1">
    <w:p w14:paraId="00000068"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 xml:space="preserve">Azza Shabila and others, ‘Relevansi Pemikiran Sejarah Ibn Khaldun Dalam Perspektif Historiografi Modern’, </w:t>
      </w:r>
      <w:r w:rsidRPr="00CD47A2">
        <w:rPr>
          <w:rFonts w:ascii="Goudy Old Style" w:hAnsi="Goudy Old Style"/>
          <w:i/>
          <w:iCs/>
          <w:color w:val="000000"/>
          <w:sz w:val="20"/>
          <w:szCs w:val="20"/>
        </w:rPr>
        <w:t>Prosiding Konferensi Nasional Mahasiswa Sejarah Peradaban Islam</w:t>
      </w:r>
      <w:r w:rsidRPr="00CD47A2">
        <w:rPr>
          <w:rFonts w:ascii="Goudy Old Style" w:hAnsi="Goudy Old Style"/>
          <w:color w:val="000000"/>
          <w:sz w:val="20"/>
          <w:szCs w:val="20"/>
        </w:rPr>
        <w:t>, 2.2 (2025), pp. 108–11 &lt;https://proceedings.uinsa.ac.id/index.php/konmaspi&gt;.</w:t>
      </w:r>
    </w:p>
  </w:footnote>
  <w:footnote w:id="2">
    <w:p w14:paraId="00000069"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 xml:space="preserve">Saidin </w:t>
      </w:r>
      <w:r w:rsidRPr="00CD47A2">
        <w:rPr>
          <w:rFonts w:ascii="Goudy Old Style" w:hAnsi="Goudy Old Style"/>
          <w:color w:val="000000"/>
          <w:sz w:val="20"/>
          <w:szCs w:val="20"/>
        </w:rPr>
        <w:t xml:space="preserve">Hamzah and Andi Khaerun Nisa, ‘Metode Sejarah Dalam Perspektif Ibnu Khaldun (Telaah Kitab </w:t>
      </w:r>
      <w:r w:rsidRPr="00CD47A2">
        <w:rPr>
          <w:rFonts w:ascii="Goudy Old Style" w:hAnsi="Goudy Old Style"/>
          <w:sz w:val="20"/>
          <w:szCs w:val="20"/>
        </w:rPr>
        <w:t>Muqaddimah</w:t>
      </w:r>
      <w:r w:rsidRPr="00CD47A2">
        <w:rPr>
          <w:rFonts w:ascii="Goudy Old Style" w:hAnsi="Goudy Old Style"/>
          <w:color w:val="000000"/>
          <w:sz w:val="20"/>
          <w:szCs w:val="20"/>
        </w:rPr>
        <w:t xml:space="preserve">)’, </w:t>
      </w:r>
      <w:r w:rsidRPr="00CD47A2">
        <w:rPr>
          <w:rFonts w:ascii="Goudy Old Style" w:hAnsi="Goudy Old Style"/>
          <w:i/>
          <w:iCs/>
          <w:color w:val="000000"/>
          <w:sz w:val="20"/>
          <w:szCs w:val="20"/>
        </w:rPr>
        <w:t>Jurnal Carita</w:t>
      </w:r>
      <w:r w:rsidRPr="00CD47A2">
        <w:rPr>
          <w:rFonts w:ascii="Goudy Old Style" w:hAnsi="Goudy Old Style"/>
          <w:color w:val="000000"/>
          <w:sz w:val="20"/>
          <w:szCs w:val="20"/>
        </w:rPr>
        <w:t>, no. 1 (July 2023), pp. 34–43 &lt;https://ejurnal.iainpare.ac.id/index.php/carita&gt;.</w:t>
      </w:r>
    </w:p>
  </w:footnote>
  <w:footnote w:id="3">
    <w:p w14:paraId="0000006A"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 xml:space="preserve">Winahyu Fajar Pamungkas and others, ‘Historiografi Modern Indonesia: Analisis Kritis Atas Dominasi Narasi Negara Dan Kontra-Narasi Sejarah’, </w:t>
      </w:r>
      <w:r w:rsidRPr="00CD47A2">
        <w:rPr>
          <w:rFonts w:ascii="Goudy Old Style" w:hAnsi="Goudy Old Style"/>
          <w:i/>
          <w:iCs/>
          <w:color w:val="000000"/>
          <w:sz w:val="20"/>
          <w:szCs w:val="20"/>
        </w:rPr>
        <w:t>Jurnal Pendidikan Tambusai</w:t>
      </w:r>
      <w:r w:rsidRPr="00CD47A2">
        <w:rPr>
          <w:rFonts w:ascii="Goudy Old Style" w:hAnsi="Goudy Old Style"/>
          <w:color w:val="000000"/>
          <w:sz w:val="20"/>
          <w:szCs w:val="20"/>
        </w:rPr>
        <w:t>, no. 3 (September 2025), pp. 30972–76.</w:t>
      </w:r>
    </w:p>
  </w:footnote>
  <w:footnote w:id="4">
    <w:p w14:paraId="0000006B"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Puji Miftahul Arfi, ‘Corak Historiografi Islam I</w:t>
      </w:r>
      <w:r w:rsidRPr="00CD47A2">
        <w:rPr>
          <w:rFonts w:ascii="Goudy Old Style" w:hAnsi="Goudy Old Style"/>
          <w:color w:val="000000"/>
          <w:sz w:val="20"/>
          <w:szCs w:val="20"/>
        </w:rPr>
        <w:t xml:space="preserve">ndonesia Periode Modern’, </w:t>
      </w:r>
      <w:r w:rsidRPr="00CD47A2">
        <w:rPr>
          <w:rFonts w:ascii="Goudy Old Style" w:hAnsi="Goudy Old Style"/>
          <w:i/>
          <w:iCs/>
          <w:color w:val="000000"/>
          <w:sz w:val="20"/>
          <w:szCs w:val="20"/>
        </w:rPr>
        <w:t>Jurnal Adabiyah</w:t>
      </w:r>
      <w:r w:rsidRPr="00CD47A2">
        <w:rPr>
          <w:rFonts w:ascii="Goudy Old Style" w:hAnsi="Goudy Old Style"/>
          <w:color w:val="000000"/>
          <w:sz w:val="20"/>
          <w:szCs w:val="20"/>
        </w:rPr>
        <w:t>, 26.2 (2024), pp. 202–11, doi:10.22373/adabiya.v26i2.21658.</w:t>
      </w:r>
    </w:p>
  </w:footnote>
  <w:footnote w:id="5">
    <w:p w14:paraId="0000006C"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Rahmawati, Syamzan Syukur Hesti Andriani, ‘AL-QALAM</w:t>
      </w:r>
      <w:r w:rsidRPr="00CD47A2">
        <w:rPr>
          <w:rFonts w:ascii="Times New Roman" w:eastAsia="Times New Roman" w:hAnsi="Times New Roman" w:cs="Times New Roman"/>
          <w:color w:val="000000"/>
          <w:sz w:val="20"/>
          <w:szCs w:val="20"/>
        </w:rPr>
        <w:t> </w:t>
      </w:r>
      <w:r w:rsidRPr="00CD47A2">
        <w:rPr>
          <w:rFonts w:ascii="Goudy Old Style" w:hAnsi="Goudy Old Style"/>
          <w:color w:val="000000"/>
          <w:sz w:val="20"/>
          <w:szCs w:val="20"/>
        </w:rPr>
        <w:t xml:space="preserve">: Jurnal Kajian Islam Dan Pendidikan Sejarah Intelektual Islam Di Bidang Tasawuf: Imam Al-Ghazali, Ibn Arabi, Dan Mulla Shadra’, </w:t>
      </w:r>
      <w:r w:rsidRPr="00CD47A2">
        <w:rPr>
          <w:rFonts w:ascii="Goudy Old Style" w:hAnsi="Goudy Old Style"/>
          <w:i/>
          <w:iCs/>
          <w:color w:val="000000"/>
          <w:sz w:val="20"/>
          <w:szCs w:val="20"/>
        </w:rPr>
        <w:t>AL-QALAM</w:t>
      </w:r>
      <w:r w:rsidRPr="00CD47A2">
        <w:rPr>
          <w:rFonts w:ascii="Times New Roman" w:eastAsia="Times New Roman" w:hAnsi="Times New Roman" w:cs="Times New Roman"/>
          <w:i/>
          <w:iCs/>
          <w:color w:val="000000"/>
          <w:sz w:val="20"/>
          <w:szCs w:val="20"/>
        </w:rPr>
        <w:t> </w:t>
      </w:r>
      <w:r w:rsidRPr="00CD47A2">
        <w:rPr>
          <w:rFonts w:ascii="Goudy Old Style" w:hAnsi="Goudy Old Style"/>
          <w:i/>
          <w:iCs/>
          <w:color w:val="000000"/>
          <w:sz w:val="20"/>
          <w:szCs w:val="20"/>
        </w:rPr>
        <w:t>: Jurnal Kajian Islam Dan Pendidikan</w:t>
      </w:r>
      <w:r w:rsidRPr="00CD47A2">
        <w:rPr>
          <w:rFonts w:ascii="Goudy Old Style" w:hAnsi="Goudy Old Style"/>
          <w:color w:val="000000"/>
          <w:sz w:val="20"/>
          <w:szCs w:val="20"/>
        </w:rPr>
        <w:t>, no. Volume 16, No.2, 2024 (December 2024), pp. 396–402, doi:10.47435/al-qalam.v1</w:t>
      </w:r>
      <w:r w:rsidRPr="00CD47A2">
        <w:rPr>
          <w:rFonts w:ascii="Goudy Old Style" w:hAnsi="Goudy Old Style"/>
          <w:color w:val="000000"/>
          <w:sz w:val="20"/>
          <w:szCs w:val="20"/>
        </w:rPr>
        <w:t>6i1.3376.</w:t>
      </w:r>
    </w:p>
  </w:footnote>
  <w:footnote w:id="6">
    <w:p w14:paraId="0000006D"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 xml:space="preserve">Susmihara, Ahmad Yani Ahmad Habib Akramullah, ‘Muqaddimah Ibn Khaldun:Telaah Historiografi Islam’, </w:t>
      </w:r>
      <w:r w:rsidRPr="00CD47A2">
        <w:rPr>
          <w:rFonts w:ascii="Goudy Old Style" w:hAnsi="Goudy Old Style"/>
          <w:i/>
          <w:iCs/>
          <w:color w:val="000000"/>
          <w:sz w:val="20"/>
          <w:szCs w:val="20"/>
        </w:rPr>
        <w:t>Al-Hikmah</w:t>
      </w:r>
      <w:r w:rsidRPr="00CD47A2">
        <w:rPr>
          <w:rFonts w:ascii="Goudy Old Style" w:hAnsi="Goudy Old Style"/>
          <w:color w:val="000000"/>
          <w:sz w:val="20"/>
          <w:szCs w:val="20"/>
        </w:rPr>
        <w:t xml:space="preserve"> (Makassar), 23.Vol. 23 No. 2 (2021): December (2023), pp. 51–60, doi:https://doi.org/10.24252/al-hikmah.v23i2.34427.</w:t>
      </w:r>
    </w:p>
  </w:footnote>
  <w:footnote w:id="7">
    <w:p w14:paraId="0000006E"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Yusuf Basirat Bola</w:t>
      </w:r>
      <w:r w:rsidRPr="00CD47A2">
        <w:rPr>
          <w:rFonts w:ascii="Goudy Old Style" w:hAnsi="Goudy Old Style"/>
          <w:color w:val="000000"/>
          <w:sz w:val="20"/>
          <w:szCs w:val="20"/>
        </w:rPr>
        <w:t>nle. Issah Abeebllahi Obalowu, ‘Scrutinising Historical Narrations: Between Ibn Khald</w:t>
      </w:r>
      <w:r w:rsidRPr="00CD47A2">
        <w:rPr>
          <w:rFonts w:ascii="Cambria" w:eastAsia="Cambria" w:hAnsi="Cambria" w:cs="Cambria"/>
          <w:color w:val="000000"/>
          <w:sz w:val="20"/>
          <w:szCs w:val="20"/>
        </w:rPr>
        <w:t>ū</w:t>
      </w:r>
      <w:r w:rsidRPr="00CD47A2">
        <w:rPr>
          <w:rFonts w:ascii="Goudy Old Style" w:hAnsi="Goudy Old Style"/>
          <w:color w:val="000000"/>
          <w:sz w:val="20"/>
          <w:szCs w:val="20"/>
        </w:rPr>
        <w:t xml:space="preserve">n and the Scholars of </w:t>
      </w:r>
      <w:r w:rsidRPr="00CD47A2">
        <w:rPr>
          <w:rFonts w:ascii="Cambria" w:eastAsia="Cambria" w:hAnsi="Cambria" w:cs="Cambria"/>
          <w:color w:val="000000"/>
          <w:sz w:val="20"/>
          <w:szCs w:val="20"/>
        </w:rPr>
        <w:t>Ḥ</w:t>
      </w:r>
      <w:r w:rsidRPr="00CD47A2">
        <w:rPr>
          <w:rFonts w:ascii="Goudy Old Style" w:hAnsi="Goudy Old Style"/>
          <w:color w:val="000000"/>
          <w:sz w:val="20"/>
          <w:szCs w:val="20"/>
        </w:rPr>
        <w:t>ad</w:t>
      </w:r>
      <w:r w:rsidRPr="00CD47A2">
        <w:rPr>
          <w:rFonts w:ascii="Cambria" w:eastAsia="Cambria" w:hAnsi="Cambria" w:cs="Cambria"/>
          <w:color w:val="000000"/>
          <w:sz w:val="20"/>
          <w:szCs w:val="20"/>
        </w:rPr>
        <w:t>ī</w:t>
      </w:r>
      <w:r w:rsidRPr="00CD47A2">
        <w:rPr>
          <w:rFonts w:ascii="Goudy Old Style" w:hAnsi="Goudy Old Style"/>
          <w:color w:val="000000"/>
          <w:sz w:val="20"/>
          <w:szCs w:val="20"/>
        </w:rPr>
        <w:t xml:space="preserve">th Criticism’, </w:t>
      </w:r>
      <w:r w:rsidRPr="00CD47A2">
        <w:rPr>
          <w:rFonts w:ascii="Goudy Old Style" w:hAnsi="Goudy Old Style"/>
          <w:i/>
          <w:iCs/>
          <w:color w:val="000000"/>
          <w:sz w:val="20"/>
          <w:szCs w:val="20"/>
        </w:rPr>
        <w:t>Islamic Revealed Knowledge and Human Sciences International Islamic University Malaysia</w:t>
      </w:r>
      <w:r w:rsidRPr="00CD47A2">
        <w:rPr>
          <w:rFonts w:ascii="Goudy Old Style" w:hAnsi="Goudy Old Style"/>
          <w:color w:val="000000"/>
          <w:sz w:val="20"/>
          <w:szCs w:val="20"/>
        </w:rPr>
        <w:t>, 6.Volume 6, Number 1, 2022 (2022), p. 20</w:t>
      </w:r>
      <w:r w:rsidRPr="00CD47A2">
        <w:rPr>
          <w:rFonts w:ascii="Goudy Old Style" w:hAnsi="Goudy Old Style"/>
          <w:color w:val="000000"/>
          <w:sz w:val="20"/>
          <w:szCs w:val="20"/>
        </w:rPr>
        <w:t>22.</w:t>
      </w:r>
    </w:p>
  </w:footnote>
  <w:footnote w:id="8">
    <w:p w14:paraId="0000006F"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 xml:space="preserve">Pemikiran Ibn Khaldun sebagai Sejarawan Islam Agung dan Relevansinya dengan Historiografi Kontemporer and others, ‘Pemikiran Ibn Khaldun Sebagai Sejarawan Islam Agung Dan Relevansinya Dengan Historiografi Kontemporer’, in </w:t>
      </w:r>
      <w:r w:rsidRPr="00CD47A2">
        <w:rPr>
          <w:rFonts w:ascii="Goudy Old Style" w:hAnsi="Goudy Old Style"/>
          <w:i/>
          <w:iCs/>
          <w:color w:val="000000"/>
          <w:sz w:val="20"/>
          <w:szCs w:val="20"/>
        </w:rPr>
        <w:t>INSANCITA: Journal of Islamic</w:t>
      </w:r>
      <w:r w:rsidRPr="00CD47A2">
        <w:rPr>
          <w:rFonts w:ascii="Goudy Old Style" w:hAnsi="Goudy Old Style"/>
          <w:i/>
          <w:iCs/>
          <w:color w:val="000000"/>
          <w:sz w:val="20"/>
          <w:szCs w:val="20"/>
        </w:rPr>
        <w:t xml:space="preserve"> Studies in Indonesia and Southeast Asia</w:t>
      </w:r>
      <w:r w:rsidRPr="00CD47A2">
        <w:rPr>
          <w:rFonts w:ascii="Goudy Old Style" w:hAnsi="Goudy Old Style"/>
          <w:color w:val="000000"/>
          <w:sz w:val="20"/>
          <w:szCs w:val="20"/>
        </w:rPr>
        <w:t xml:space="preserve">, no. 1 (Minda Masagi Press, 2018), </w:t>
      </w:r>
      <w:r w:rsidRPr="00CD47A2">
        <w:rPr>
          <w:rFonts w:ascii="Goudy Old Style" w:hAnsi="Goudy Old Style"/>
          <w:smallCaps/>
          <w:color w:val="000000"/>
          <w:sz w:val="20"/>
          <w:szCs w:val="20"/>
        </w:rPr>
        <w:t>iii</w:t>
      </w:r>
      <w:r w:rsidRPr="00CD47A2">
        <w:rPr>
          <w:rFonts w:ascii="Goudy Old Style" w:hAnsi="Goudy Old Style"/>
          <w:color w:val="000000"/>
          <w:sz w:val="20"/>
          <w:szCs w:val="20"/>
        </w:rPr>
        <w:t xml:space="preserve"> &lt;www.mindamas-journals.com/index.php/insancita&gt;.</w:t>
      </w:r>
    </w:p>
  </w:footnote>
  <w:footnote w:id="9">
    <w:p w14:paraId="00000070"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Tarbyatul Uluwiyah, ‘Sejarah Pendidikan Islam</w:t>
      </w:r>
      <w:r w:rsidRPr="00CD47A2">
        <w:rPr>
          <w:rFonts w:ascii="Times New Roman" w:eastAsia="Times New Roman" w:hAnsi="Times New Roman" w:cs="Times New Roman"/>
          <w:color w:val="000000"/>
          <w:sz w:val="20"/>
          <w:szCs w:val="20"/>
        </w:rPr>
        <w:t> </w:t>
      </w:r>
      <w:r w:rsidRPr="00CD47A2">
        <w:rPr>
          <w:rFonts w:ascii="Goudy Old Style" w:hAnsi="Goudy Old Style"/>
          <w:color w:val="000000"/>
          <w:sz w:val="20"/>
          <w:szCs w:val="20"/>
        </w:rPr>
        <w:t xml:space="preserve">: Perspektif Pemikiran Ibnu </w:t>
      </w:r>
      <w:r w:rsidRPr="00CD47A2">
        <w:rPr>
          <w:rFonts w:ascii="Goudy Old Style" w:hAnsi="Goudy Old Style"/>
          <w:sz w:val="20"/>
          <w:szCs w:val="20"/>
        </w:rPr>
        <w:t>Khaldun</w:t>
      </w:r>
      <w:r w:rsidRPr="00CD47A2">
        <w:rPr>
          <w:rFonts w:ascii="Goudy Old Style" w:hAnsi="Goudy Old Style"/>
          <w:color w:val="000000"/>
          <w:sz w:val="20"/>
          <w:szCs w:val="20"/>
        </w:rPr>
        <w:t xml:space="preserve"> Dan Relevansinya Dengan Pendidikan Di Indonesia’, </w:t>
      </w:r>
      <w:r w:rsidRPr="00CD47A2">
        <w:rPr>
          <w:rFonts w:ascii="Goudy Old Style" w:hAnsi="Goudy Old Style"/>
          <w:i/>
          <w:iCs/>
          <w:color w:val="000000"/>
          <w:sz w:val="20"/>
          <w:szCs w:val="20"/>
        </w:rPr>
        <w:t>Tarbiyah Islamiyah: Jurnal Ilmiah Pendidikan Agama Islam</w:t>
      </w:r>
      <w:r w:rsidRPr="00CD47A2">
        <w:rPr>
          <w:rFonts w:ascii="Goudy Old Style" w:hAnsi="Goudy Old Style"/>
          <w:color w:val="000000"/>
          <w:sz w:val="20"/>
          <w:szCs w:val="20"/>
        </w:rPr>
        <w:t>, 13.2 (2024), pp. 67–77, doi:10.18592/jtipai.v13i2.9616.</w:t>
      </w:r>
    </w:p>
  </w:footnote>
  <w:footnote w:id="10">
    <w:p w14:paraId="00000071"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 xml:space="preserve">Maryam Disbudparpora and Kab Muaro Jambi Jl Lintas Timur Bukit Cinto kenang Sengeti Muaro </w:t>
      </w:r>
      <w:r w:rsidRPr="00CD47A2">
        <w:rPr>
          <w:rFonts w:ascii="Goudy Old Style" w:hAnsi="Goudy Old Style"/>
          <w:color w:val="000000"/>
          <w:sz w:val="20"/>
          <w:szCs w:val="20"/>
        </w:rPr>
        <w:t xml:space="preserve">Jambi, ‘Kontribusi Ibnu Khaldun Dalam Historiografi Islam’, </w:t>
      </w:r>
      <w:r w:rsidRPr="00CD47A2">
        <w:rPr>
          <w:rFonts w:ascii="Goudy Old Style" w:hAnsi="Goudy Old Style"/>
          <w:i/>
          <w:iCs/>
          <w:color w:val="000000"/>
          <w:sz w:val="20"/>
          <w:szCs w:val="20"/>
        </w:rPr>
        <w:t>ThaqÃfiyyÃT</w:t>
      </w:r>
      <w:r w:rsidRPr="00CD47A2">
        <w:rPr>
          <w:rFonts w:ascii="Goudy Old Style" w:hAnsi="Goudy Old Style"/>
          <w:color w:val="000000"/>
          <w:sz w:val="20"/>
          <w:szCs w:val="20"/>
        </w:rPr>
        <w:t>, no. 1 (June 2012), pp. 205–22.</w:t>
      </w:r>
    </w:p>
  </w:footnote>
  <w:footnote w:id="11">
    <w:p w14:paraId="00000072"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 xml:space="preserve">Nurwahidin Lintang Tranggono, ‘Analisis Perkembangan Historiografi Timur Tengah Dan Islam: Pra Islam, Islam Klasik, &amp; Modern’, </w:t>
      </w:r>
      <w:r w:rsidRPr="00CD47A2">
        <w:rPr>
          <w:rFonts w:ascii="Goudy Old Style" w:hAnsi="Goudy Old Style"/>
          <w:i/>
          <w:iCs/>
          <w:color w:val="000000"/>
          <w:sz w:val="20"/>
          <w:szCs w:val="20"/>
        </w:rPr>
        <w:t xml:space="preserve">Syntax Literate: Jurnal </w:t>
      </w:r>
      <w:r w:rsidRPr="00CD47A2">
        <w:rPr>
          <w:rFonts w:ascii="Goudy Old Style" w:hAnsi="Goudy Old Style"/>
          <w:i/>
          <w:iCs/>
          <w:color w:val="000000"/>
          <w:sz w:val="20"/>
          <w:szCs w:val="20"/>
        </w:rPr>
        <w:t>Ilmiah Indonesia</w:t>
      </w:r>
      <w:r w:rsidRPr="00CD47A2">
        <w:rPr>
          <w:rFonts w:ascii="Goudy Old Style" w:hAnsi="Goudy Old Style"/>
          <w:color w:val="000000"/>
          <w:sz w:val="20"/>
          <w:szCs w:val="20"/>
        </w:rPr>
        <w:t>, no. Vol. 8, No. 5, Mei 2023 (May 2023), doi:Http://Dx.Doi.Org/10.36418/Syntax-Literate.v8i5.9628.</w:t>
      </w:r>
    </w:p>
  </w:footnote>
  <w:footnote w:id="12">
    <w:p w14:paraId="00000073"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Disbudparpora and Muaro Jambi Jl Lintas Timur Bukit Cinto kenang Sengeti Muaro Jambi, ‘Kontribusi Ibnu Khaldun Dalam Historiografi Islam’.</w:t>
      </w:r>
    </w:p>
  </w:footnote>
  <w:footnote w:id="13">
    <w:p w14:paraId="00000074"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 xml:space="preserve">Azmul Fahimi Kamaruzaman and Nabeela Akrasha Surtahman, ‘Genesis Falsafah Sejarah Islam Dan Perkembangannya Pasca Ibn Khaldun’, </w:t>
      </w:r>
      <w:r w:rsidRPr="00CD47A2">
        <w:rPr>
          <w:rFonts w:ascii="Goudy Old Style" w:hAnsi="Goudy Old Style"/>
          <w:i/>
          <w:iCs/>
          <w:color w:val="000000"/>
          <w:sz w:val="20"/>
          <w:szCs w:val="20"/>
        </w:rPr>
        <w:t>Islamiyyat</w:t>
      </w:r>
      <w:r w:rsidRPr="00CD47A2">
        <w:rPr>
          <w:rFonts w:ascii="Goudy Old Style" w:hAnsi="Goudy Old Style"/>
          <w:color w:val="000000"/>
          <w:sz w:val="20"/>
          <w:szCs w:val="20"/>
        </w:rPr>
        <w:t>, 43.1 (2020), pp. 37–49, doi:10.17576/islamiyyat-2021-4301-04.</w:t>
      </w:r>
    </w:p>
  </w:footnote>
  <w:footnote w:id="14">
    <w:p w14:paraId="00000075"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Iqbal, ‘Ibnu Khaldun: Konsep Sejarah Dan Filsafat Pe</w:t>
      </w:r>
      <w:r w:rsidRPr="00CD47A2">
        <w:rPr>
          <w:rFonts w:ascii="Goudy Old Style" w:hAnsi="Goudy Old Style"/>
          <w:color w:val="000000"/>
          <w:sz w:val="20"/>
          <w:szCs w:val="20"/>
        </w:rPr>
        <w:t xml:space="preserve">ndidikan Dalam Perspektif Klasik’, </w:t>
      </w:r>
      <w:r w:rsidRPr="00CD47A2">
        <w:rPr>
          <w:rFonts w:ascii="Goudy Old Style" w:hAnsi="Goudy Old Style"/>
          <w:i/>
          <w:iCs/>
          <w:color w:val="000000"/>
          <w:sz w:val="20"/>
          <w:szCs w:val="20"/>
        </w:rPr>
        <w:t>JIS: Journal Islamic Studies</w:t>
      </w:r>
      <w:r w:rsidRPr="00CD47A2">
        <w:rPr>
          <w:rFonts w:ascii="Goudy Old Style" w:hAnsi="Goudy Old Style"/>
          <w:color w:val="000000"/>
          <w:sz w:val="20"/>
          <w:szCs w:val="20"/>
        </w:rPr>
        <w:t>, 3.2 (2025), pp. 109–18, doi:10.71456/jis.v3i2.1334.</w:t>
      </w:r>
    </w:p>
  </w:footnote>
  <w:footnote w:id="15">
    <w:p w14:paraId="00000076"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 xml:space="preserve">Moch. Dimas Galuh Mahardika, ‘Pengaruh Pemikiran Ibnu Khaldun Dalam Rumusan Filsafat Sejarah Nasional Muhammad Yamin’, </w:t>
      </w:r>
      <w:r w:rsidRPr="00CD47A2">
        <w:rPr>
          <w:rFonts w:ascii="Goudy Old Style" w:hAnsi="Goudy Old Style"/>
          <w:i/>
          <w:iCs/>
          <w:color w:val="000000"/>
          <w:sz w:val="20"/>
          <w:szCs w:val="20"/>
        </w:rPr>
        <w:t>Refleksi Jurnal Fil</w:t>
      </w:r>
      <w:r w:rsidRPr="00CD47A2">
        <w:rPr>
          <w:rFonts w:ascii="Goudy Old Style" w:hAnsi="Goudy Old Style"/>
          <w:i/>
          <w:iCs/>
          <w:color w:val="000000"/>
          <w:sz w:val="20"/>
          <w:szCs w:val="20"/>
        </w:rPr>
        <w:t>safat Dan Pemikiran Islam</w:t>
      </w:r>
      <w:r w:rsidRPr="00CD47A2">
        <w:rPr>
          <w:rFonts w:ascii="Goudy Old Style" w:hAnsi="Goudy Old Style"/>
          <w:color w:val="000000"/>
          <w:sz w:val="20"/>
          <w:szCs w:val="20"/>
        </w:rPr>
        <w:t>, 25.1 (2025), pp. 18–36, doi:10.14421/ref.v25i1.5976.</w:t>
      </w:r>
    </w:p>
  </w:footnote>
  <w:footnote w:id="16">
    <w:p w14:paraId="00000077"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 xml:space="preserve">Budi Darmawan and Danil Mahmud Chaniago, ‘Studi Historiografi Islam Klasik: Kritik Dan Tinjauan Terhadap Karya Al-Mas’udi’, </w:t>
      </w:r>
      <w:r w:rsidRPr="00CD47A2">
        <w:rPr>
          <w:rFonts w:ascii="Goudy Old Style" w:hAnsi="Goudy Old Style"/>
          <w:i/>
          <w:iCs/>
          <w:color w:val="000000"/>
          <w:sz w:val="20"/>
          <w:szCs w:val="20"/>
        </w:rPr>
        <w:t>Fajar Historia: Jurnal Ilmu Sejarah Dan Pendidikan</w:t>
      </w:r>
      <w:r w:rsidRPr="00CD47A2">
        <w:rPr>
          <w:rFonts w:ascii="Goudy Old Style" w:hAnsi="Goudy Old Style"/>
          <w:color w:val="000000"/>
          <w:sz w:val="20"/>
          <w:szCs w:val="20"/>
        </w:rPr>
        <w:t>,</w:t>
      </w:r>
      <w:r w:rsidRPr="00CD47A2">
        <w:rPr>
          <w:rFonts w:ascii="Goudy Old Style" w:hAnsi="Goudy Old Style"/>
          <w:color w:val="000000"/>
          <w:sz w:val="20"/>
          <w:szCs w:val="20"/>
        </w:rPr>
        <w:t xml:space="preserve"> 8.2 (2024), pp. 233–49, doi:10.29408/fhs.v8i2.24858.</w:t>
      </w:r>
    </w:p>
  </w:footnote>
  <w:footnote w:id="17">
    <w:p w14:paraId="00000078"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Tarbyatul Uluwiyah, ‘Sejarah Pendidikan Islam</w:t>
      </w:r>
      <w:r w:rsidRPr="00CD47A2">
        <w:rPr>
          <w:rFonts w:ascii="Times New Roman" w:eastAsia="Times New Roman" w:hAnsi="Times New Roman" w:cs="Times New Roman"/>
          <w:color w:val="000000"/>
          <w:sz w:val="20"/>
          <w:szCs w:val="20"/>
        </w:rPr>
        <w:t> </w:t>
      </w:r>
      <w:r w:rsidRPr="00CD47A2">
        <w:rPr>
          <w:rFonts w:ascii="Goudy Old Style" w:hAnsi="Goudy Old Style"/>
          <w:color w:val="000000"/>
          <w:sz w:val="20"/>
          <w:szCs w:val="20"/>
        </w:rPr>
        <w:t xml:space="preserve">: Perspektif Pemikiran Ibnu </w:t>
      </w:r>
      <w:r w:rsidRPr="00CD47A2">
        <w:rPr>
          <w:rFonts w:ascii="Goudy Old Style" w:hAnsi="Goudy Old Style"/>
          <w:sz w:val="20"/>
          <w:szCs w:val="20"/>
        </w:rPr>
        <w:t>Khaldun</w:t>
      </w:r>
      <w:r w:rsidRPr="00CD47A2">
        <w:rPr>
          <w:rFonts w:ascii="Goudy Old Style" w:hAnsi="Goudy Old Style"/>
          <w:color w:val="000000"/>
          <w:sz w:val="20"/>
          <w:szCs w:val="20"/>
        </w:rPr>
        <w:t xml:space="preserve"> Dan Relevansinya Dengan Pendidikan Di Indonesia’, </w:t>
      </w:r>
      <w:r w:rsidRPr="00CD47A2">
        <w:rPr>
          <w:rFonts w:ascii="Goudy Old Style" w:hAnsi="Goudy Old Style"/>
          <w:i/>
          <w:iCs/>
          <w:color w:val="000000"/>
          <w:sz w:val="20"/>
          <w:szCs w:val="20"/>
        </w:rPr>
        <w:t>Tarbiyah Islamiyah: Jurnal Ilmiah Pendidikan Agama Islam</w:t>
      </w:r>
      <w:r w:rsidRPr="00CD47A2">
        <w:rPr>
          <w:rFonts w:ascii="Goudy Old Style" w:hAnsi="Goudy Old Style"/>
          <w:color w:val="000000"/>
          <w:sz w:val="20"/>
          <w:szCs w:val="20"/>
        </w:rPr>
        <w:t>, 13.2 (2024)</w:t>
      </w:r>
      <w:r w:rsidRPr="00CD47A2">
        <w:rPr>
          <w:rFonts w:ascii="Goudy Old Style" w:hAnsi="Goudy Old Style"/>
          <w:color w:val="000000"/>
          <w:sz w:val="20"/>
          <w:szCs w:val="20"/>
        </w:rPr>
        <w:t>, pp. 67–77, doi:10.18592/jtipai.v13i2.9616.</w:t>
      </w:r>
    </w:p>
  </w:footnote>
  <w:footnote w:id="18">
    <w:p w14:paraId="00000079"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 xml:space="preserve">Saepul Japar Sidik, Abas Mansur Tamam, and Hasbi Indra, ‘Nilai-Nilai Keimanan Dalam Pemikiran Sejarah Ibnu Khaldun Pada Kitab al-Muqaddimah’, </w:t>
      </w:r>
      <w:r w:rsidRPr="00CD47A2">
        <w:rPr>
          <w:rFonts w:ascii="Goudy Old Style" w:hAnsi="Goudy Old Style"/>
          <w:i/>
          <w:iCs/>
          <w:color w:val="000000"/>
          <w:sz w:val="20"/>
          <w:szCs w:val="20"/>
        </w:rPr>
        <w:t>Tawazun: Jurnal Pendidikan Islam</w:t>
      </w:r>
      <w:r w:rsidRPr="00CD47A2">
        <w:rPr>
          <w:rFonts w:ascii="Goudy Old Style" w:hAnsi="Goudy Old Style"/>
          <w:color w:val="000000"/>
          <w:sz w:val="20"/>
          <w:szCs w:val="20"/>
        </w:rPr>
        <w:t>, 14.1 (2021), p. 1, doi:10.32832/ta</w:t>
      </w:r>
      <w:r w:rsidRPr="00CD47A2">
        <w:rPr>
          <w:rFonts w:ascii="Goudy Old Style" w:hAnsi="Goudy Old Style"/>
          <w:color w:val="000000"/>
          <w:sz w:val="20"/>
          <w:szCs w:val="20"/>
        </w:rPr>
        <w:t>wazun.v14i1.4010.</w:t>
      </w:r>
    </w:p>
  </w:footnote>
  <w:footnote w:id="19">
    <w:p w14:paraId="0000007A"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 xml:space="preserve">Nurul Hak Fadhilah Ariani, ‘Historiografi Islam Modern: Telaah Fiqhus Sirah Karya Muhammad Sa’id Ramadhan Al-Buthi’, </w:t>
      </w:r>
      <w:r w:rsidRPr="00CD47A2">
        <w:rPr>
          <w:rFonts w:ascii="Goudy Old Style" w:hAnsi="Goudy Old Style"/>
          <w:i/>
          <w:iCs/>
          <w:color w:val="000000"/>
          <w:sz w:val="20"/>
          <w:szCs w:val="20"/>
        </w:rPr>
        <w:t>Jurnal Thaq</w:t>
      </w:r>
      <w:r w:rsidRPr="00CD47A2">
        <w:rPr>
          <w:rFonts w:ascii="Cambria" w:eastAsia="Cambria" w:hAnsi="Cambria" w:cs="Cambria"/>
          <w:i/>
          <w:iCs/>
          <w:color w:val="000000"/>
          <w:sz w:val="20"/>
          <w:szCs w:val="20"/>
        </w:rPr>
        <w:t>ā</w:t>
      </w:r>
      <w:r w:rsidRPr="00CD47A2">
        <w:rPr>
          <w:rFonts w:ascii="Goudy Old Style" w:hAnsi="Goudy Old Style"/>
          <w:i/>
          <w:iCs/>
          <w:color w:val="000000"/>
          <w:sz w:val="20"/>
          <w:szCs w:val="20"/>
        </w:rPr>
        <w:t>fiyy</w:t>
      </w:r>
      <w:r w:rsidRPr="00CD47A2">
        <w:rPr>
          <w:rFonts w:ascii="Cambria" w:eastAsia="Cambria" w:hAnsi="Cambria" w:cs="Cambria"/>
          <w:i/>
          <w:iCs/>
          <w:color w:val="000000"/>
          <w:sz w:val="20"/>
          <w:szCs w:val="20"/>
        </w:rPr>
        <w:t>ā</w:t>
      </w:r>
      <w:r w:rsidRPr="00CD47A2">
        <w:rPr>
          <w:rFonts w:ascii="Goudy Old Style" w:hAnsi="Goudy Old Style"/>
          <w:i/>
          <w:iCs/>
          <w:color w:val="000000"/>
          <w:sz w:val="20"/>
          <w:szCs w:val="20"/>
        </w:rPr>
        <w:t>t</w:t>
      </w:r>
      <w:r w:rsidRPr="00CD47A2">
        <w:rPr>
          <w:rFonts w:ascii="Goudy Old Style" w:hAnsi="Goudy Old Style"/>
          <w:color w:val="000000"/>
          <w:sz w:val="20"/>
          <w:szCs w:val="20"/>
        </w:rPr>
        <w:t xml:space="preserve">, no. Vol 23, No. 2 (2024) (September 2024), pp. 150–62, </w:t>
      </w:r>
      <w:r w:rsidRPr="00CD47A2">
        <w:rPr>
          <w:rFonts w:ascii="Goudy Old Style" w:hAnsi="Goudy Old Style"/>
          <w:color w:val="000000"/>
          <w:sz w:val="20"/>
          <w:szCs w:val="20"/>
        </w:rPr>
        <w:t>doi:DOI:https://doi.org/10.14421/thaq.2024.23203.</w:t>
      </w:r>
    </w:p>
  </w:footnote>
  <w:footnote w:id="20">
    <w:p w14:paraId="0000007B" w14:textId="77777777" w:rsidR="000172AE" w:rsidRPr="00CD47A2" w:rsidRDefault="00583925">
      <w:pPr>
        <w:pBdr>
          <w:top w:val="nil"/>
          <w:left w:val="nil"/>
          <w:bottom w:val="nil"/>
          <w:right w:val="nil"/>
          <w:between w:val="nil"/>
        </w:pBdr>
        <w:spacing w:after="120" w:line="240" w:lineRule="auto"/>
        <w:ind w:firstLine="720"/>
        <w:rPr>
          <w:rFonts w:ascii="Goudy Old Style" w:hAnsi="Goudy Old Style"/>
          <w:color w:val="000000"/>
          <w:sz w:val="20"/>
          <w:szCs w:val="20"/>
        </w:rPr>
      </w:pPr>
      <w:r w:rsidRPr="00CD47A2">
        <w:rPr>
          <w:rFonts w:ascii="Goudy Old Style" w:hAnsi="Goudy Old Style"/>
          <w:vertAlign w:val="superscript"/>
        </w:rPr>
        <w:footnoteRef/>
      </w:r>
      <w:r w:rsidRPr="00CD47A2">
        <w:rPr>
          <w:rFonts w:ascii="Goudy Old Style" w:hAnsi="Goudy Old Style"/>
          <w:color w:val="000000"/>
          <w:sz w:val="20"/>
          <w:szCs w:val="20"/>
        </w:rPr>
        <w:t>Puji Miftahul Arfi, ‘Corak Historiografi Islam Indonesia Periode Modern’.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7C" w14:textId="77777777" w:rsidR="000172AE" w:rsidRPr="00CD47A2" w:rsidRDefault="00583925">
    <w:pPr>
      <w:pBdr>
        <w:top w:val="nil"/>
        <w:left w:val="nil"/>
        <w:bottom w:val="nil"/>
        <w:right w:val="nil"/>
        <w:between w:val="nil"/>
      </w:pBdr>
      <w:tabs>
        <w:tab w:val="center" w:pos="4320"/>
        <w:tab w:val="right" w:pos="8640"/>
      </w:tabs>
      <w:jc w:val="right"/>
      <w:rPr>
        <w:rFonts w:ascii="Goudy Old Style" w:hAnsi="Goudy Old Style"/>
        <w:i/>
        <w:iCs/>
      </w:rPr>
    </w:pPr>
    <w:r w:rsidRPr="00CD47A2">
      <w:rPr>
        <w:rFonts w:ascii="Goudy Old Style" w:hAnsi="Goudy Old Style"/>
        <w:i/>
        <w:iCs/>
      </w:rPr>
      <w:t>Rihlah Vol. 14 No. 01 Januari-Juni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2AE"/>
    <w:rsid w:val="000172AE"/>
    <w:rsid w:val="001535EE"/>
    <w:rsid w:val="00564305"/>
    <w:rsid w:val="00583925"/>
    <w:rsid w:val="00AF6409"/>
    <w:rsid w:val="00CD47A2"/>
    <w:rsid w:val="00E64C03"/>
    <w:rsid w:val="00EA3694"/>
    <w:rsid w:val="00F27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09711"/>
  <w15:docId w15:val="{CA34ABAB-FED4-47B3-86F5-DEDF735DD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orts Mill Goudy" w:eastAsia="Sorts Mill Goudy" w:hAnsi="Sorts Mill Goudy" w:cs="Sorts Mill Goudy"/>
        <w:sz w:val="24"/>
        <w:szCs w:val="24"/>
        <w:lang w:val="id"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CD47A2"/>
    <w:pPr>
      <w:tabs>
        <w:tab w:val="center" w:pos="4680"/>
        <w:tab w:val="right" w:pos="9360"/>
      </w:tabs>
      <w:spacing w:line="240" w:lineRule="auto"/>
    </w:pPr>
  </w:style>
  <w:style w:type="character" w:customStyle="1" w:styleId="HeaderChar">
    <w:name w:val="Header Char"/>
    <w:basedOn w:val="DefaultParagraphFont"/>
    <w:link w:val="Header"/>
    <w:uiPriority w:val="99"/>
    <w:rsid w:val="00CD47A2"/>
  </w:style>
  <w:style w:type="paragraph" w:styleId="Footer">
    <w:name w:val="footer"/>
    <w:basedOn w:val="Normal"/>
    <w:link w:val="FooterChar"/>
    <w:uiPriority w:val="99"/>
    <w:unhideWhenUsed/>
    <w:rsid w:val="00CD47A2"/>
    <w:pPr>
      <w:tabs>
        <w:tab w:val="center" w:pos="4680"/>
        <w:tab w:val="right" w:pos="9360"/>
      </w:tabs>
      <w:spacing w:line="240" w:lineRule="auto"/>
    </w:pPr>
  </w:style>
  <w:style w:type="character" w:customStyle="1" w:styleId="FooterChar">
    <w:name w:val="Footer Char"/>
    <w:basedOn w:val="DefaultParagraphFont"/>
    <w:link w:val="Footer"/>
    <w:uiPriority w:val="99"/>
    <w:rsid w:val="00CD47A2"/>
  </w:style>
  <w:style w:type="character" w:styleId="Hyperlink">
    <w:name w:val="Hyperlink"/>
    <w:basedOn w:val="DefaultParagraphFont"/>
    <w:uiPriority w:val="99"/>
    <w:unhideWhenUsed/>
    <w:rsid w:val="00EA3694"/>
    <w:rPr>
      <w:color w:val="0000FF" w:themeColor="hyperlink"/>
      <w:u w:val="single"/>
    </w:rPr>
  </w:style>
  <w:style w:type="character" w:styleId="UnresolvedMention">
    <w:name w:val="Unresolved Mention"/>
    <w:basedOn w:val="DefaultParagraphFont"/>
    <w:uiPriority w:val="99"/>
    <w:semiHidden/>
    <w:unhideWhenUsed/>
    <w:rsid w:val="00EA36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musafir.pababbari@uin-alauddin.ac.id2" TargetMode="External"/><Relationship Id="rId13" Type="http://schemas.openxmlformats.org/officeDocument/2006/relationships/hyperlink" Target="https://proceedings.uinsa.ac.id/index.php/konmaspi" TargetMode="External"/><Relationship Id="rId3" Type="http://schemas.openxmlformats.org/officeDocument/2006/relationships/settings" Target="settings.xml"/><Relationship Id="rId7" Type="http://schemas.openxmlformats.org/officeDocument/2006/relationships/hyperlink" Target="mailto:muhilham@wirabhaktimakassar.ac.id" TargetMode="External"/><Relationship Id="rId12" Type="http://schemas.openxmlformats.org/officeDocument/2006/relationships/hyperlink" Target="http://www.mindamas-journals.com/index.php/insancit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jurnal.iainpare.ac.id/index.php/carit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hmadyani01@iainpare.ac.id" TargetMode="External"/><Relationship Id="rId4" Type="http://schemas.openxmlformats.org/officeDocument/2006/relationships/webSettings" Target="webSettings.xml"/><Relationship Id="rId9" Type="http://schemas.openxmlformats.org/officeDocument/2006/relationships/hyperlink" Target="mailto:musafir.pababbari@uin-alauddin.ac.id2"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ThxgPg5ULRdcOwupa3Hj/07fLw==">CgMxLjAyDmgueTRyODN3MXNraXNiOAByITFzM2hCZ3V2bG9zWktmR05PQkxTWTZwMFNlbnp0YVZUSw==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5698</Words>
  <Characters>32479</Characters>
  <Application>Microsoft Office Word</Application>
  <DocSecurity>0</DocSecurity>
  <Lines>270</Lines>
  <Paragraphs>76</Paragraphs>
  <ScaleCrop>false</ScaleCrop>
  <Company/>
  <LinksUpToDate>false</LinksUpToDate>
  <CharactersWithSpaces>38101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4</cp:revision>
  <dcterms:created xsi:type="dcterms:W3CDTF">2026-06-29T12:44:00Z</dcterms:created>
  <dcterms:modified xsi:type="dcterms:W3CDTF">2026-06-30T16:13:00Z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http://www.zotero.org/styles/modern-humanities-research-association-3rd-edition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http://www.zotero.org/styles/turabian-fullnote-bibliography-no-ibid</vt:lpwstr>
  </property>
  <property fmtid="{D5CDD505-2E9C-101B-9397-08002B2CF9AE}" pid="19" name="Mendeley Recent Style Name 8_1">
    <vt:lpwstr>Turabian 8th edition (full note, no ibid)</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7351ef11-2ea6-35b6-b817-0de4ef4dc442</vt:lpwstr>
  </property>
  <property fmtid="{D5CDD505-2E9C-101B-9397-08002B2CF9AE}" pid="24" name="Mendeley Citation Style_1">
    <vt:lpwstr>http://www.zotero.org/styles/modern-humanities-research-association-3rd-edition</vt:lpwstr>
  </property>
  <property fmtid="{D5CDD505-2E9C-101B-9397-08002B2CF9AE}" pid="25" name="GrammarlyDocumentId">
    <vt:lpwstr>c1f61f91-331a-4880-b291-e20e07d037e1</vt:lpwstr>
  </property>
</Properties>
</file>